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2197</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0.73 (95% CrI: 0.28-2.09), P(OR &lt; 1) = 77% for magnesium, and HR 0.85 (0.59-1.57), P(HR &lt; 1) = 84%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counterfactual simulation, Bayesian evidence synthesis, power analysis, GRADE, magnesium, statins, heart failure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(Hermeneutic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obtained by Metropolis-Hastings MCMC (15,000 post-warmup iterations after 3,000 warmup)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(inconclusive).</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[16-17]. For statins in heart failure we used aggregate data from five observational cohorts [18-22] and two RCTs [23-24]. We used DerSimonian-Laird random-effects meta-analysis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1.11 with 30.6%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0.73 (95% CrI: 0.28-2.09), with 77%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60.9% and the probability of a clinically meaningful benefit (HR &lt; 0.90) was 17.7%.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83.7% and 65.7%,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1.11 (0.43–7.03)</w:t>
            </w:r>
          </w:p>
        </w:tc>
        <w:tc>
          <w:tcPr/>
          <w:p>
            <w:pPr>
              <w:pStyle w:val="Normal"/>
              <w:jc w:val="left"/>
              <w:spacing w:line="240" w:lineRule="auto" w:after="0"/>
            </w:pPr>
            <w:r>
              <w:rPr>
                <w:rFonts w:ascii="Times New Roman" w:hAnsi="Times New Roman" w:cs="Times New Roman" w:eastAsia="Times New Roman"/>
                <w:sz w:val="20"/>
                <w:szCs w:val="20"/>
              </w:rPr>
              <w:t xml:space="preserve">30.6%</w:t>
            </w:r>
          </w:p>
        </w:tc>
        <w:tc>
          <w:tcPr/>
          <w:p>
            <w:pPr>
              <w:pStyle w:val="Normal"/>
              <w:jc w:val="left"/>
              <w:spacing w:line="240" w:lineRule="auto" w:after="0"/>
            </w:pPr>
            <w:r>
              <w:rPr>
                <w:rFonts w:ascii="Times New Roman" w:hAnsi="Times New Roman" w:cs="Times New Roman" w:eastAsia="Times New Roman"/>
                <w:sz w:val="20"/>
                <w:szCs w:val="20"/>
              </w:rPr>
              <w:t xml:space="preserve">22.2%</w:t>
            </w:r>
          </w:p>
        </w:tc>
        <w:tc>
          <w:tcPr/>
          <w:p>
            <w:pPr>
              <w:pStyle w:val="Normal"/>
              <w:jc w:val="left"/>
              <w:spacing w:line="240" w:lineRule="auto" w:after="0"/>
            </w:pPr>
            <w:r>
              <w:rPr>
                <w:rFonts w:ascii="Times New Roman" w:hAnsi="Times New Roman" w:cs="Times New Roman" w:eastAsia="Times New Roman"/>
                <w:sz w:val="20"/>
                <w:szCs w:val="20"/>
              </w:rPr>
              <w:t xml:space="preserve">16.2%</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1.00 (0.31–3.51)</w:t>
            </w:r>
          </w:p>
        </w:tc>
        <w:tc>
          <w:tcPr/>
          <w:p>
            <w:pPr>
              <w:pStyle w:val="Normal"/>
              <w:jc w:val="left"/>
              <w:spacing w:line="240" w:lineRule="auto" w:after="0"/>
            </w:pPr>
            <w:r>
              <w:rPr>
                <w:rFonts w:ascii="Times New Roman" w:hAnsi="Times New Roman" w:cs="Times New Roman" w:eastAsia="Times New Roman"/>
                <w:sz w:val="20"/>
                <w:szCs w:val="20"/>
              </w:rPr>
              <w:t xml:space="preserve">50.7%</w:t>
            </w:r>
          </w:p>
        </w:tc>
        <w:tc>
          <w:tcPr/>
          <w:p>
            <w:pPr>
              <w:pStyle w:val="Normal"/>
              <w:jc w:val="left"/>
              <w:spacing w:line="240" w:lineRule="auto" w:after="0"/>
            </w:pPr>
            <w:r>
              <w:rPr>
                <w:rFonts w:ascii="Times New Roman" w:hAnsi="Times New Roman" w:cs="Times New Roman" w:eastAsia="Times New Roman"/>
                <w:sz w:val="20"/>
                <w:szCs w:val="20"/>
              </w:rPr>
              <w:t xml:space="preserve">36.6%</w:t>
            </w:r>
          </w:p>
        </w:tc>
        <w:tc>
          <w:tcPr/>
          <w:p>
            <w:pPr>
              <w:pStyle w:val="Normal"/>
              <w:jc w:val="left"/>
              <w:spacing w:line="240" w:lineRule="auto" w:after="0"/>
            </w:pPr>
            <w:r>
              <w:rPr>
                <w:rFonts w:ascii="Times New Roman" w:hAnsi="Times New Roman" w:cs="Times New Roman" w:eastAsia="Times New Roman"/>
                <w:sz w:val="20"/>
                <w:szCs w:val="20"/>
              </w:rPr>
              <w:t xml:space="preserve">27.9%</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0.85 (0.31–2.50)</w:t>
            </w:r>
          </w:p>
        </w:tc>
        <w:tc>
          <w:tcPr/>
          <w:p>
            <w:pPr>
              <w:pStyle w:val="Normal"/>
              <w:jc w:val="left"/>
              <w:spacing w:line="240" w:lineRule="auto" w:after="0"/>
            </w:pPr>
            <w:r>
              <w:rPr>
                <w:rFonts w:ascii="Times New Roman" w:hAnsi="Times New Roman" w:cs="Times New Roman" w:eastAsia="Times New Roman"/>
                <w:sz w:val="20"/>
                <w:szCs w:val="20"/>
              </w:rPr>
              <w:t xml:space="preserve">66.5%</w:t>
            </w:r>
          </w:p>
        </w:tc>
        <w:tc>
          <w:tcPr/>
          <w:p>
            <w:pPr>
              <w:pStyle w:val="Normal"/>
              <w:jc w:val="left"/>
              <w:spacing w:line="240" w:lineRule="auto" w:after="0"/>
            </w:pPr>
            <w:r>
              <w:rPr>
                <w:rFonts w:ascii="Times New Roman" w:hAnsi="Times New Roman" w:cs="Times New Roman" w:eastAsia="Times New Roman"/>
                <w:sz w:val="20"/>
                <w:szCs w:val="20"/>
              </w:rPr>
              <w:t xml:space="preserve">55.0%</w:t>
            </w:r>
          </w:p>
        </w:tc>
        <w:tc>
          <w:tcPr/>
          <w:p>
            <w:pPr>
              <w:pStyle w:val="Normal"/>
              <w:jc w:val="left"/>
              <w:spacing w:line="240" w:lineRule="auto" w:after="0"/>
            </w:pPr>
            <w:r>
              <w:rPr>
                <w:rFonts w:ascii="Times New Roman" w:hAnsi="Times New Roman" w:cs="Times New Roman" w:eastAsia="Times New Roman"/>
                <w:sz w:val="20"/>
                <w:szCs w:val="20"/>
              </w:rPr>
              <w:t xml:space="preserve">45.8%</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0.73 (0.28–2.09)</w:t>
            </w:r>
          </w:p>
        </w:tc>
        <w:tc>
          <w:tcPr/>
          <w:p>
            <w:pPr>
              <w:pStyle w:val="Normal"/>
              <w:jc w:val="left"/>
              <w:spacing w:line="240" w:lineRule="auto" w:after="0"/>
            </w:pPr>
            <w:r>
              <w:rPr>
                <w:rFonts w:ascii="Times New Roman" w:hAnsi="Times New Roman" w:cs="Times New Roman" w:eastAsia="Times New Roman"/>
                <w:sz w:val="20"/>
                <w:szCs w:val="20"/>
              </w:rPr>
              <w:t xml:space="preserve">77.0%</w:t>
            </w:r>
          </w:p>
        </w:tc>
        <w:tc>
          <w:tcPr/>
          <w:p>
            <w:pPr>
              <w:pStyle w:val="Normal"/>
              <w:jc w:val="left"/>
              <w:spacing w:line="240" w:lineRule="auto" w:after="0"/>
            </w:pPr>
            <w:r>
              <w:rPr>
                <w:rFonts w:ascii="Times New Roman" w:hAnsi="Times New Roman" w:cs="Times New Roman" w:eastAsia="Times New Roman"/>
                <w:sz w:val="20"/>
                <w:szCs w:val="20"/>
              </w:rPr>
              <w:t xml:space="preserve">66.3%</w:t>
            </w:r>
          </w:p>
        </w:tc>
        <w:tc>
          <w:tcPr/>
          <w:p>
            <w:pPr>
              <w:pStyle w:val="Normal"/>
              <w:jc w:val="left"/>
              <w:spacing w:line="240" w:lineRule="auto" w:after="0"/>
            </w:pPr>
            <w:r>
              <w:rPr>
                <w:rFonts w:ascii="Times New Roman" w:hAnsi="Times New Roman" w:cs="Times New Roman" w:eastAsia="Times New Roman"/>
                <w:sz w:val="20"/>
                <w:szCs w:val="20"/>
              </w:rPr>
              <w:t xml:space="preserve">56.9%</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0.61 (0.28–1.30)</w:t>
            </w:r>
          </w:p>
        </w:tc>
        <w:tc>
          <w:tcPr/>
          <w:p>
            <w:pPr>
              <w:pStyle w:val="Normal"/>
              <w:jc w:val="left"/>
              <w:spacing w:line="240" w:lineRule="auto" w:after="0"/>
            </w:pPr>
            <w:r>
              <w:rPr>
                <w:rFonts w:ascii="Times New Roman" w:hAnsi="Times New Roman" w:cs="Times New Roman" w:eastAsia="Times New Roman"/>
                <w:sz w:val="20"/>
                <w:szCs w:val="20"/>
              </w:rPr>
              <w:t xml:space="preserve">92.6%</w:t>
            </w:r>
          </w:p>
        </w:tc>
        <w:tc>
          <w:tcPr/>
          <w:p>
            <w:pPr>
              <w:pStyle w:val="Normal"/>
              <w:jc w:val="left"/>
              <w:spacing w:line="240" w:lineRule="auto" w:after="0"/>
            </w:pPr>
            <w:r>
              <w:rPr>
                <w:rFonts w:ascii="Times New Roman" w:hAnsi="Times New Roman" w:cs="Times New Roman" w:eastAsia="Times New Roman"/>
                <w:sz w:val="20"/>
                <w:szCs w:val="20"/>
              </w:rPr>
              <w:t xml:space="preserve">87.3%</w:t>
            </w:r>
          </w:p>
        </w:tc>
        <w:tc>
          <w:tcPr/>
          <w:p>
            <w:pPr>
              <w:pStyle w:val="Normal"/>
              <w:jc w:val="left"/>
              <w:spacing w:line="240" w:lineRule="auto" w:after="0"/>
            </w:pPr>
            <w:r>
              <w:rPr>
                <w:rFonts w:ascii="Times New Roman" w:hAnsi="Times New Roman" w:cs="Times New Roman" w:eastAsia="Times New Roman"/>
                <w:sz w:val="20"/>
                <w:szCs w:val="20"/>
              </w:rPr>
              <w:t xml:space="preserve">77.1%</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0.57 (0.29–1.05)</w:t>
            </w:r>
          </w:p>
        </w:tc>
        <w:tc>
          <w:tcPr/>
          <w:p>
            <w:pPr>
              <w:pStyle w:val="Normal"/>
              <w:jc w:val="left"/>
              <w:spacing w:line="240" w:lineRule="auto" w:after="0"/>
            </w:pPr>
            <w:r>
              <w:rPr>
                <w:rFonts w:ascii="Times New Roman" w:hAnsi="Times New Roman" w:cs="Times New Roman" w:eastAsia="Times New Roman"/>
                <w:sz w:val="20"/>
                <w:szCs w:val="20"/>
              </w:rPr>
              <w:t xml:space="preserve">96.6%</w:t>
            </w:r>
          </w:p>
        </w:tc>
        <w:tc>
          <w:tcPr/>
          <w:p>
            <w:pPr>
              <w:pStyle w:val="Normal"/>
              <w:jc w:val="left"/>
              <w:spacing w:line="240" w:lineRule="auto" w:after="0"/>
            </w:pPr>
            <w:r>
              <w:rPr>
                <w:rFonts w:ascii="Times New Roman" w:hAnsi="Times New Roman" w:cs="Times New Roman" w:eastAsia="Times New Roman"/>
                <w:sz w:val="20"/>
                <w:szCs w:val="20"/>
              </w:rPr>
              <w:t xml:space="preserve">94.1%</w:t>
            </w:r>
          </w:p>
        </w:tc>
        <w:tc>
          <w:tcPr/>
          <w:p>
            <w:pPr>
              <w:pStyle w:val="Normal"/>
              <w:jc w:val="left"/>
              <w:spacing w:line="240" w:lineRule="auto" w:after="0"/>
            </w:pPr>
            <w:r>
              <w:rPr>
                <w:rFonts w:ascii="Times New Roman" w:hAnsi="Times New Roman" w:cs="Times New Roman" w:eastAsia="Times New Roman"/>
                <w:sz w:val="20"/>
                <w:szCs w:val="20"/>
              </w:rPr>
              <w:t xml:space="preserve">87.4%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0.54 (0.32–0.91)</w:t>
            </w:r>
          </w:p>
        </w:tc>
        <w:tc>
          <w:tcPr/>
          <w:p>
            <w:pPr>
              <w:pStyle w:val="Normal"/>
              <w:jc w:val="left"/>
              <w:spacing w:line="240" w:lineRule="auto" w:after="0"/>
            </w:pPr>
            <w:r>
              <w:rPr>
                <w:rFonts w:ascii="Times New Roman" w:hAnsi="Times New Roman" w:cs="Times New Roman" w:eastAsia="Times New Roman"/>
                <w:sz w:val="20"/>
                <w:szCs w:val="20"/>
              </w:rPr>
              <w:t xml:space="preserve">98.7%</w:t>
            </w:r>
          </w:p>
        </w:tc>
        <w:tc>
          <w:tcPr/>
          <w:p>
            <w:pPr>
              <w:pStyle w:val="Normal"/>
              <w:jc w:val="left"/>
              <w:spacing w:line="240" w:lineRule="auto" w:after="0"/>
            </w:pPr>
            <w:r>
              <w:rPr>
                <w:rFonts w:ascii="Times New Roman" w:hAnsi="Times New Roman" w:cs="Times New Roman" w:eastAsia="Times New Roman"/>
                <w:sz w:val="20"/>
                <w:szCs w:val="20"/>
              </w:rPr>
              <w:t xml:space="preserve">97.2%</w:t>
            </w:r>
          </w:p>
        </w:tc>
        <w:tc>
          <w:tcPr/>
          <w:p>
            <w:pPr>
              <w:pStyle w:val="Normal"/>
              <w:jc w:val="left"/>
              <w:spacing w:line="240" w:lineRule="auto" w:after="0"/>
            </w:pPr>
            <w:r>
              <w:rPr>
                <w:rFonts w:ascii="Times New Roman" w:hAnsi="Times New Roman" w:cs="Times New Roman" w:eastAsia="Times New Roman"/>
                <w:sz w:val="20"/>
                <w:szCs w:val="20"/>
              </w:rPr>
              <w:t xml:space="preserve">93.5%</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0.98 (0.63–2.35)</w:t>
            </w:r>
          </w:p>
        </w:tc>
        <w:tc>
          <w:tcPr/>
          <w:p>
            <w:pPr>
              <w:pStyle w:val="Normal"/>
              <w:jc w:val="left"/>
              <w:spacing w:line="240" w:lineRule="auto" w:after="0"/>
            </w:pPr>
            <w:r>
              <w:rPr>
                <w:rFonts w:ascii="Times New Roman" w:hAnsi="Times New Roman" w:cs="Times New Roman" w:eastAsia="Times New Roman"/>
                <w:sz w:val="20"/>
                <w:szCs w:val="20"/>
              </w:rPr>
              <w:t xml:space="preserve">60.9%</w:t>
            </w:r>
          </w:p>
        </w:tc>
        <w:tc>
          <w:tcPr/>
          <w:p>
            <w:pPr>
              <w:pStyle w:val="Normal"/>
              <w:jc w:val="left"/>
              <w:spacing w:line="240" w:lineRule="auto" w:after="0"/>
            </w:pPr>
            <w:r>
              <w:rPr>
                <w:rFonts w:ascii="Times New Roman" w:hAnsi="Times New Roman" w:cs="Times New Roman" w:eastAsia="Times New Roman"/>
                <w:sz w:val="20"/>
                <w:szCs w:val="20"/>
              </w:rPr>
              <w:t xml:space="preserve">17.7%</w:t>
            </w:r>
          </w:p>
        </w:tc>
        <w:tc>
          <w:tcPr/>
          <w:p>
            <w:pPr>
              <w:pStyle w:val="Normal"/>
              <w:jc w:val="left"/>
              <w:spacing w:line="240" w:lineRule="auto" w:after="0"/>
            </w:pPr>
            <w:r>
              <w:rPr>
                <w:rFonts w:ascii="Times New Roman" w:hAnsi="Times New Roman" w:cs="Times New Roman" w:eastAsia="Times New Roman"/>
                <w:sz w:val="20"/>
                <w:szCs w:val="20"/>
              </w:rPr>
              <w:t xml:space="preserve">9.1%</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(0.63–2.19)</w:t>
            </w:r>
          </w:p>
        </w:tc>
        <w:tc>
          <w:tcPr/>
          <w:p>
            <w:pPr>
              <w:pStyle w:val="Normal"/>
              <w:jc w:val="left"/>
              <w:spacing w:line="240" w:lineRule="auto" w:after="0"/>
            </w:pPr>
            <w:r>
              <w:rPr>
                <w:rFonts w:ascii="Times New Roman" w:hAnsi="Times New Roman" w:cs="Times New Roman" w:eastAsia="Times New Roman"/>
                <w:sz w:val="20"/>
                <w:szCs w:val="20"/>
              </w:rPr>
              <w:t xml:space="preserve">70.4%</w:t>
            </w:r>
          </w:p>
        </w:tc>
        <w:tc>
          <w:tcPr/>
          <w:p>
            <w:pPr>
              <w:pStyle w:val="Normal"/>
              <w:jc w:val="left"/>
              <w:spacing w:line="240" w:lineRule="auto" w:after="0"/>
            </w:pPr>
            <w:r>
              <w:rPr>
                <w:rFonts w:ascii="Times New Roman" w:hAnsi="Times New Roman" w:cs="Times New Roman" w:eastAsia="Times New Roman"/>
                <w:sz w:val="20"/>
                <w:szCs w:val="20"/>
              </w:rPr>
              <w:t xml:space="preserve">43.5%</w:t>
            </w:r>
          </w:p>
        </w:tc>
        <w:tc>
          <w:tcPr/>
          <w:p>
            <w:pPr>
              <w:pStyle w:val="Normal"/>
              <w:jc w:val="left"/>
              <w:spacing w:line="240" w:lineRule="auto" w:after="0"/>
            </w:pPr>
            <w:r>
              <w:rPr>
                <w:rFonts w:ascii="Times New Roman" w:hAnsi="Times New Roman" w:cs="Times New Roman" w:eastAsia="Times New Roman"/>
                <w:sz w:val="20"/>
                <w:szCs w:val="20"/>
              </w:rPr>
              <w:t xml:space="preserve">17.7%</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0.88 (0.60–1.80)</w:t>
            </w:r>
          </w:p>
        </w:tc>
        <w:tc>
          <w:tcPr/>
          <w:p>
            <w:pPr>
              <w:pStyle w:val="Normal"/>
              <w:jc w:val="left"/>
              <w:spacing w:line="240" w:lineRule="auto" w:after="0"/>
            </w:pPr>
            <w:r>
              <w:rPr>
                <w:rFonts w:ascii="Times New Roman" w:hAnsi="Times New Roman" w:cs="Times New Roman" w:eastAsia="Times New Roman"/>
                <w:sz w:val="20"/>
                <w:szCs w:val="20"/>
              </w:rPr>
              <w:t xml:space="preserve">78.4%</w:t>
            </w:r>
          </w:p>
        </w:tc>
        <w:tc>
          <w:tcPr/>
          <w:p>
            <w:pPr>
              <w:pStyle w:val="Normal"/>
              <w:jc w:val="left"/>
              <w:spacing w:line="240" w:lineRule="auto" w:after="0"/>
            </w:pPr>
            <w:r>
              <w:rPr>
                <w:rFonts w:ascii="Times New Roman" w:hAnsi="Times New Roman" w:cs="Times New Roman" w:eastAsia="Times New Roman"/>
                <w:sz w:val="20"/>
                <w:szCs w:val="20"/>
              </w:rPr>
              <w:t xml:space="preserve">57.0%</w:t>
            </w:r>
          </w:p>
        </w:tc>
        <w:tc>
          <w:tcPr/>
          <w:p>
            <w:pPr>
              <w:pStyle w:val="Normal"/>
              <w:jc w:val="left"/>
              <w:spacing w:line="240" w:lineRule="auto" w:after="0"/>
            </w:pPr>
            <w:r>
              <w:rPr>
                <w:rFonts w:ascii="Times New Roman" w:hAnsi="Times New Roman" w:cs="Times New Roman" w:eastAsia="Times New Roman"/>
                <w:sz w:val="20"/>
                <w:szCs w:val="20"/>
              </w:rPr>
              <w:t xml:space="preserve">26.0%</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(0.59–1.57)</w:t>
            </w:r>
          </w:p>
        </w:tc>
        <w:tc>
          <w:tcPr/>
          <w:p>
            <w:pPr>
              <w:pStyle w:val="Normal"/>
              <w:jc w:val="left"/>
              <w:spacing w:line="240" w:lineRule="auto" w:after="0"/>
            </w:pPr>
            <w:r>
              <w:rPr>
                <w:rFonts w:ascii="Times New Roman" w:hAnsi="Times New Roman" w:cs="Times New Roman" w:eastAsia="Times New Roman"/>
                <w:sz w:val="20"/>
                <w:szCs w:val="20"/>
              </w:rPr>
              <w:t xml:space="preserve">83.7%</w:t>
            </w:r>
          </w:p>
        </w:tc>
        <w:tc>
          <w:tcPr/>
          <w:p>
            <w:pPr>
              <w:pStyle w:val="Normal"/>
              <w:jc w:val="left"/>
              <w:spacing w:line="240" w:lineRule="auto" w:after="0"/>
            </w:pPr>
            <w:r>
              <w:rPr>
                <w:rFonts w:ascii="Times New Roman" w:hAnsi="Times New Roman" w:cs="Times New Roman" w:eastAsia="Times New Roman"/>
                <w:sz w:val="20"/>
                <w:szCs w:val="20"/>
              </w:rPr>
              <w:t xml:space="preserve">65.7%</w:t>
            </w:r>
          </w:p>
        </w:tc>
        <w:tc>
          <w:tcPr/>
          <w:p>
            <w:pPr>
              <w:pStyle w:val="Normal"/>
              <w:jc w:val="left"/>
              <w:spacing w:line="240" w:lineRule="auto" w:after="0"/>
            </w:pPr>
            <w:r>
              <w:rPr>
                <w:rFonts w:ascii="Times New Roman" w:hAnsi="Times New Roman" w:cs="Times New Roman" w:eastAsia="Times New Roman"/>
                <w:sz w:val="20"/>
                <w:szCs w:val="20"/>
              </w:rPr>
              <w:t xml:space="preserve">32.8%</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(0.62–1.15)</w:t>
            </w:r>
          </w:p>
        </w:tc>
        <w:tc>
          <w:tcPr/>
          <w:p>
            <w:pPr>
              <w:pStyle w:val="Normal"/>
              <w:jc w:val="left"/>
              <w:spacing w:line="240" w:lineRule="auto" w:after="0"/>
            </w:pPr>
            <w:r>
              <w:rPr>
                <w:rFonts w:ascii="Times New Roman" w:hAnsi="Times New Roman" w:cs="Times New Roman" w:eastAsia="Times New Roman"/>
                <w:sz w:val="20"/>
                <w:szCs w:val="20"/>
              </w:rPr>
              <w:t xml:space="preserve">91.9%</w:t>
            </w:r>
          </w:p>
        </w:tc>
        <w:tc>
          <w:tcPr/>
          <w:p>
            <w:pPr>
              <w:pStyle w:val="Normal"/>
              <w:jc w:val="left"/>
              <w:spacing w:line="240" w:lineRule="auto" w:after="0"/>
            </w:pPr>
            <w:r>
              <w:rPr>
                <w:rFonts w:ascii="Times New Roman" w:hAnsi="Times New Roman" w:cs="Times New Roman" w:eastAsia="Times New Roman"/>
                <w:sz w:val="20"/>
                <w:szCs w:val="20"/>
              </w:rPr>
              <w:t xml:space="preserve">79.2%</w:t>
            </w:r>
          </w:p>
        </w:tc>
        <w:tc>
          <w:tcPr/>
          <w:p>
            <w:pPr>
              <w:pStyle w:val="Normal"/>
              <w:jc w:val="left"/>
              <w:spacing w:line="240" w:lineRule="auto" w:after="0"/>
            </w:pPr>
            <w:r>
              <w:rPr>
                <w:rFonts w:ascii="Times New Roman" w:hAnsi="Times New Roman" w:cs="Times New Roman" w:eastAsia="Times New Roman"/>
                <w:sz w:val="20"/>
                <w:szCs w:val="20"/>
              </w:rPr>
              <w:t xml:space="preserve">42.5%</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0.79 (0.63–1.02)</w:t>
            </w:r>
          </w:p>
        </w:tc>
        <w:tc>
          <w:tcPr/>
          <w:p>
            <w:pPr>
              <w:pStyle w:val="Normal"/>
              <w:jc w:val="left"/>
              <w:spacing w:line="240" w:lineRule="auto" w:after="0"/>
            </w:pPr>
            <w:r>
              <w:rPr>
                <w:rFonts w:ascii="Times New Roman" w:hAnsi="Times New Roman" w:cs="Times New Roman" w:eastAsia="Times New Roman"/>
                <w:sz w:val="20"/>
                <w:szCs w:val="20"/>
              </w:rPr>
              <w:t xml:space="preserve">96.8%</w:t>
            </w:r>
          </w:p>
        </w:tc>
        <w:tc>
          <w:tcPr/>
          <w:p>
            <w:pPr>
              <w:pStyle w:val="Normal"/>
              <w:jc w:val="left"/>
              <w:spacing w:line="240" w:lineRule="auto" w:after="0"/>
            </w:pPr>
            <w:r>
              <w:rPr>
                <w:rFonts w:ascii="Times New Roman" w:hAnsi="Times New Roman" w:cs="Times New Roman" w:eastAsia="Times New Roman"/>
                <w:sz w:val="20"/>
                <w:szCs w:val="20"/>
              </w:rPr>
              <w:t xml:space="preserve">88.7%</w:t>
            </w:r>
          </w:p>
        </w:tc>
        <w:tc>
          <w:tcPr/>
          <w:p>
            <w:pPr>
              <w:pStyle w:val="Normal"/>
              <w:jc w:val="left"/>
              <w:spacing w:line="240" w:lineRule="auto" w:after="0"/>
            </w:pPr>
            <w:r>
              <w:rPr>
                <w:rFonts w:ascii="Times New Roman" w:hAnsi="Times New Roman" w:cs="Times New Roman" w:eastAsia="Times New Roman"/>
                <w:sz w:val="20"/>
                <w:szCs w:val="20"/>
              </w:rPr>
              <w:t xml:space="preserve">53.4%</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(0.65–0.95)</w:t>
            </w:r>
          </w:p>
        </w:tc>
        <w:tc>
          <w:tcPr/>
          <w:p>
            <w:pPr>
              <w:pStyle w:val="Normal"/>
              <w:jc w:val="left"/>
              <w:spacing w:line="240" w:lineRule="auto" w:after="0"/>
            </w:pPr>
            <w:r>
              <w:rPr>
                <w:rFonts w:ascii="Times New Roman" w:hAnsi="Times New Roman" w:cs="Times New Roman" w:eastAsia="Times New Roman"/>
                <w:sz w:val="20"/>
                <w:szCs w:val="20"/>
              </w:rPr>
              <w:t xml:space="preserve">99.1%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64.1%</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the OIS for the observational effect was 279 events and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[25-26]. Module K is complementary: it does not estimate effects but quantifies the information lost due to enrollment decisions. Existing methods for combining RCT and observational evidence include hierarchical models, power priors, and meta-analytic-predictive priors [27-29].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prospective validation against trials whose results are not yet known would be stronger. Module T results are sensitive to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to assumptions about residual confounding; we present sensitivity analyses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Teo KK, Yusuf S, Collins R, Held PH, Peto R. Effects of intravenous magnesium in suspected acute myocardial infarction: overview of randomised trials. BMJ. 1991;303(6816):1499-503.</w:t>
      </w:r>
    </w:p>
    <w:p>
      <w:r>
        <w:rPr>
          <w:rFonts w:ascii="Times New Roman" w:hAnsi="Times New Roman"/>
          <w:sz w:val="20"/>
        </w:rPr>
        <w:t>17. Li J, Zhang Q, Zhang M, Egger M. Intravenous magnesium for acute myocardial infarction. Cochrane Database Syst Rev. 2007;(2):CD002755.</w:t>
      </w:r>
    </w:p>
    <w:p>
      <w:r>
        <w:rPr>
          <w:rFonts w:ascii="Times New Roman" w:hAnsi="Times New Roman"/>
          <w:sz w:val="20"/>
        </w:rPr>
        <w:t>18.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19. Mozaffarian D, Nye R, Levy WC. Statin therapy is associated with lower mortality among patients with severe heart failure. Am J Cardiol. 2004;93(9):1124-9.</w:t>
      </w:r>
    </w:p>
    <w:p>
      <w:r>
        <w:rPr>
          <w:rFonts w:ascii="Times New Roman" w:hAnsi="Times New Roman"/>
          <w:sz w:val="20"/>
        </w:rPr>
        <w:t>20. Horwich TB, MacLellan WR, Fonarow GC. Statin therapy is associated with improved survival in ischemic and non-ischemic heart failure. J Am Coll Cardiol. 2004;43(4):642-8.</w:t>
      </w:r>
    </w:p>
    <w:p>
      <w:r>
        <w:rPr>
          <w:rFonts w:ascii="Times New Roman" w:hAnsi="Times New Roman"/>
          <w:sz w:val="20"/>
        </w:rPr>
        <w:t>21. Go AS, Lee WY, Yang J, Lo JC, Gurwitz JH. Statin therapy and risks for death and hospitalization in chronic heart failure. JAMA. 2006;296(17):2105-11.</w:t>
      </w:r>
    </w:p>
    <w:p>
      <w:r>
        <w:rPr>
          <w:rFonts w:ascii="Times New Roman" w:hAnsi="Times New Roman"/>
          <w:sz w:val="20"/>
        </w:rPr>
        <w:t>22. Foody JM, Shah R, Galusha D, Masoudi FA, Havranek EP, Krumholz HM. Statins and mortality among elderly patients hospitalized with heart failure. Circulation. 2006;113(8):1086-92.</w:t>
      </w:r>
    </w:p>
    <w:p>
      <w:r>
        <w:rPr>
          <w:rFonts w:ascii="Times New Roman" w:hAnsi="Times New Roman"/>
          <w:sz w:val="20"/>
        </w:rPr>
        <w:t>23. Kjekshus J, Apetrei E, Barrios V, Bohm M, Cleland JG, Cornel JH, et al. Rosuvastatin in older patients with systolic heart failure. N Engl J Med. 2007;357(22):2248-61.</w:t>
      </w:r>
    </w:p>
    <w:p>
      <w:r>
        <w:rPr>
          <w:rFonts w:ascii="Times New Roman" w:hAnsi="Times New Roman"/>
          <w:sz w:val="20"/>
        </w:rPr>
        <w:t>24. GISSI-HF Investigators. Effect of rosuvastatin in patients with chronic heart failure (the GISSI-HF trial): a randomised, double-blind, placebo-controlled trial. Lancet. 2008;372(9645):1231-9.</w:t>
      </w:r>
    </w:p>
    <w:p>
      <w:r>
        <w:rPr>
          <w:rFonts w:ascii="Times New Roman" w:hAnsi="Times New Roman"/>
          <w:sz w:val="20"/>
        </w:rPr>
        <w:t>25. Hernan MA, Robins JM. Using big data to emulate a target trial when a randomized trial is not available. Am J Epidemiol. 2016;183(8):758-64.</w:t>
      </w:r>
    </w:p>
    <w:p>
      <w:r>
        <w:rPr>
          <w:rFonts w:ascii="Times New Roman" w:hAnsi="Times New Roman"/>
          <w:sz w:val="20"/>
        </w:rPr>
        <w:t>26. Hernan MA, Wang W, Leaf DE. Target trial emulation: a framework for causal inference from observational data. JAMA. 2022;328(24):2446-7.</w:t>
      </w:r>
    </w:p>
    <w:p>
      <w:r>
        <w:rPr>
          <w:rFonts w:ascii="Times New Roman" w:hAnsi="Times New Roman"/>
          <w:sz w:val="20"/>
        </w:rPr>
        <w:t>27.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28. Verde PE, Ohmann C. Combining randomized and non-randomized evidence in clinical research: a review of methods and applications. Res Synth Methods. 2015;6(1):45-62.</w:t>
      </w:r>
    </w:p>
    <w:p>
      <w:r>
        <w:rPr>
          <w:rFonts w:ascii="Times New Roman" w:hAnsi="Times New Roman"/>
          <w:sz w:val="20"/>
        </w:rPr>
        <w:t>29.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