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Abbreviation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ADEMP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Aims, Data-generating mechanisms, Estimands, Methods, Performance measures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AMI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Acute myocardial infarction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CrI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Credible interval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Confidence interval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GRADE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Grading of Recommendations Assessment, Development and Evaluation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HF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Heart failure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Hazard ratio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KOTHA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Knowledge-driven Observational-Trial Harmonization Approach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MCMC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Markov chain Monte Carlo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Optimal information size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Odds ratio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Randomized controlled trial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Trial sequential analysis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Approach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Mechanism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Adoption level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Stratified randomization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Risk-based stratification of randomization and analysis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Common for basic strata; rare for event-rate-driven strata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Prognostic enrichment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Intentional enrollment of high-risk patients to increase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Endorsed by FDA and EMA guidance; limited in non-drug trials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Event-driven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Continue enrollment/follow-up until target event count is reached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Common in cardiology and oncology; rare in other specialties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Adaptive sample size re-estimation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Mid-trial re-estimation of required sample size based on observed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Statistically powerful; regulatory complexity limits adoption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External data-informed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Use retrospective data to quantify expected event loss and adjust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Ideal but very rare in practice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Pragmatic / registry-based trials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Broad eligibility, minimal exclusions, real-world enrollment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Growing (e.g., REMAP-CAP, RECOVERY) but not yet standard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Module H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Analytical tool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Decision criterion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Information sufficiency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OIS calculation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Total events &lt; OIS: informationally insufficient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inspection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spans benefit through null: inconclusive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Representativeness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Module K event rate ratio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&lt; 0.67 or &gt; 1.50: serious; &lt; 0.80 or &gt; 1.25: moderate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Sequential monitoring boundaries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Boundaries not crossed: interim analysis equivalent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 language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Standardized templates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Tailored to information sufficiency classification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Study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Year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Era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Events (Mg)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N (Mg)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Events (Ctrl)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N (Ctrl)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Control rate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Morton 1984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5.6%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Rasmussen 1986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11.4%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Smith 1986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200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200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3.5%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Abraham 1987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48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Ceremuzynski 1989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13.0%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Shechter 1990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Singh 1990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29.7%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Feldstedt 1991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Transition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Schechter 1991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Transition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3.5%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LIMIT-2 1992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1,159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118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1,157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Shechter 1995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108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15.7%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ISIS-4 1995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Thrombolysis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2216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29,011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2103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29,039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7.2%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auto" w:w="0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Study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HR (95% CI)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Events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Mozaffarian 2004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0.62 (0.49–0.78)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1,153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356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Horwich 2004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0.59 (0.44–0.78)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551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189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Go 2006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0.69 (0.63–0.75)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24,598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5,765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Foody 2006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0.82 (0.79–0.85)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54,960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16,573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Anker 2006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0.75 (0.66–0.85)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10,510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2,890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CORONA 2007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0.95 (0.86–1.05)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5,011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728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GISSI-HF 2008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1.00 (0.90–1.12)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4,574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657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auto" w:w="0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m:oMath>
              <m:r>
                <m:t>α</m:t>
              </m:r>
            </m:oMath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OR (95% CrI)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P(OR &lt; 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P(OR &lt; 0.90)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P(OR &lt; 0.80)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 (ISIS-4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1.11 (0.43–7.03)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30.6%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22.2%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16.2%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1.00 (0.31–3.51)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50.7%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36.6%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27.9%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0.85 (0.31–2.50)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66.5%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55.0%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45.8%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0.73 (0.28–2.09)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77.0%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66.3%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56.9%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0.61 (0.28–1.30)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92.6%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77.1%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0.57 (0.29–1.05)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96.6%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94.1%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0.54 (0.32–0.91)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98.7%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97.2%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93.5%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auto" w:w="0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m:oMath>
              <m:r>
                <m:t>α</m:t>
              </m:r>
            </m:oMath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HR (95% CrI)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P(HR &lt; 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P(HR &lt; 0.90)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P(HR &lt; 0.80)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 (RCTs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0.98 (0.63–2.35)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60.9%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0.92 (0.63–2.19)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70.4%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43.5%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17.7%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0.88 (0.60–1.80)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78.4%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57.0%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26.0%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0.85 (0.59–1.57)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83.7%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65.7%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32.8%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0.82 (0.62–1.15)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91.9%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79.2%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42.5%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0.79 (0.63–1.02)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96.8%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88.7%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53.4%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0.78 (0.65–0.95)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99.1%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64.1%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(Statins HF)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(Statins HF)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Risk of bias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Inconsistency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Low: event rate decreased by 18%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Serious: event rate decreased by 47%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null)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clinically important benefit)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clinically important benefit)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certainty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 benefit demonstrated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”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Inconclusive; conditional recommendation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”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 benefit demonstrated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”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Inconclusive; conditional recommendation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