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ADEMP</w:t>
            </w:r>
          </w:p>
        </w:tc>
        <w:tc>
          <w:tcPr>
            <w:tcW w:type="dxa" w:w="4320"/>
          </w:tcPr>
          <w:p>
            <w:r>
              <w:t>Aims, Data-generating mechanisms, Estimands, Methods, Performance measures</w:t>
            </w:r>
          </w:p>
        </w:tc>
      </w:tr>
      <w:tr>
        <w:tc>
          <w:tcPr>
            <w:tcW w:type="dxa" w:w="4320"/>
          </w:tcPr>
          <w:p>
            <w:r>
              <w:t>AMI</w:t>
            </w:r>
          </w:p>
        </w:tc>
        <w:tc>
          <w:tcPr>
            <w:tcW w:type="dxa" w:w="4320"/>
          </w:tcPr>
          <w:p>
            <w:r>
              <w:t>Acute myocardial infarction</w:t>
            </w:r>
          </w:p>
        </w:tc>
      </w:tr>
      <w:tr>
        <w:tc>
          <w:tcPr>
            <w:tcW w:type="dxa" w:w="4320"/>
          </w:tcPr>
          <w:p>
            <w:r>
              <w:t>CrI</w:t>
            </w:r>
          </w:p>
        </w:tc>
        <w:tc>
          <w:tcPr>
            <w:tcW w:type="dxa" w:w="4320"/>
          </w:tcPr>
          <w:p>
            <w:r>
              <w:t>Credible interval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Confidence interval</w:t>
            </w:r>
          </w:p>
        </w:tc>
      </w:tr>
      <w:tr>
        <w:tc>
          <w:tcPr>
            <w:tcW w:type="dxa" w:w="4320"/>
          </w:tcPr>
          <w:p>
            <w:r>
              <w:t>EBM</w:t>
            </w:r>
          </w:p>
        </w:tc>
        <w:tc>
          <w:tcPr>
            <w:tcW w:type="dxa" w:w="4320"/>
          </w:tcPr>
          <w:p>
            <w:r>
              <w:t>Evidence-based medicine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Grading of Recommendations Assessment, Development and Evaluation</w:t>
            </w:r>
          </w:p>
        </w:tc>
      </w:tr>
      <w:tr>
        <w:tc>
          <w:tcPr>
            <w:tcW w:type="dxa" w:w="4320"/>
          </w:tcPr>
          <w:p>
            <w:r>
              <w:t>HF</w:t>
            </w:r>
          </w:p>
        </w:tc>
        <w:tc>
          <w:tcPr>
            <w:tcW w:type="dxa" w:w="4320"/>
          </w:tcPr>
          <w:p>
            <w:r>
              <w:t>Heart failure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Hazard ratio</w:t>
            </w:r>
          </w:p>
        </w:tc>
      </w:tr>
      <w:tr>
        <w:tc>
          <w:tcPr>
            <w:tcW w:type="dxa" w:w="4320"/>
          </w:tcPr>
          <w:p>
            <w:r>
              <w:t>KOTHA</w:t>
            </w:r>
          </w:p>
        </w:tc>
        <w:tc>
          <w:tcPr>
            <w:tcW w:type="dxa" w:w="4320"/>
          </w:tcPr>
          <w:p>
            <w:r>
              <w:t>Knowledge-driven Observational-Trial Harmonization Approach</w:t>
            </w:r>
          </w:p>
        </w:tc>
      </w:tr>
      <w:tr>
        <w:tc>
          <w:tcPr>
            <w:tcW w:type="dxa" w:w="4320"/>
          </w:tcPr>
          <w:p>
            <w:r>
              <w:t>MCMC</w:t>
            </w:r>
          </w:p>
        </w:tc>
        <w:tc>
          <w:tcPr>
            <w:tcW w:type="dxa" w:w="4320"/>
          </w:tcPr>
          <w:p>
            <w:r>
              <w:t>Markov chain Monte Carlo</w:t>
            </w:r>
          </w:p>
        </w:tc>
      </w:tr>
      <w:tr>
        <w:tc>
          <w:tcPr>
            <w:tcW w:type="dxa" w:w="4320"/>
          </w:tcPr>
          <w:p>
            <w:r>
              <w:t>OIS</w:t>
            </w:r>
          </w:p>
        </w:tc>
        <w:tc>
          <w:tcPr>
            <w:tcW w:type="dxa" w:w="4320"/>
          </w:tcPr>
          <w:p>
            <w:r>
              <w:t>Optimal information size</w:t>
            </w:r>
          </w:p>
        </w:tc>
      </w:tr>
      <w:tr>
        <w:tc>
          <w:tcPr>
            <w:tcW w:type="dxa" w:w="4320"/>
          </w:tcPr>
          <w:p>
            <w:r>
              <w:t>OR</w:t>
            </w:r>
          </w:p>
        </w:tc>
        <w:tc>
          <w:tcPr>
            <w:tcW w:type="dxa" w:w="4320"/>
          </w:tcPr>
          <w:p>
            <w:r>
              <w:t>Odds ratio</w:t>
            </w:r>
          </w:p>
        </w:tc>
      </w:tr>
      <w:tr>
        <w:tc>
          <w:tcPr>
            <w:tcW w:type="dxa" w:w="4320"/>
          </w:tcPr>
          <w:p>
            <w:r>
              <w:t>RCT</w:t>
            </w:r>
          </w:p>
        </w:tc>
        <w:tc>
          <w:tcPr>
            <w:tcW w:type="dxa" w:w="4320"/>
          </w:tcPr>
          <w:p>
            <w:r>
              <w:t>Randomized controlled trial</w:t>
            </w:r>
          </w:p>
        </w:tc>
      </w:tr>
      <w:tr>
        <w:tc>
          <w:tcPr>
            <w:tcW w:type="dxa" w:w="4320"/>
          </w:tcPr>
          <w:p>
            <w:r>
              <w:t>TSA</w:t>
            </w:r>
          </w:p>
        </w:tc>
        <w:tc>
          <w:tcPr>
            <w:tcW w:type="dxa" w:w="4320"/>
          </w:tcPr>
          <w:p>
            <w:r>
              <w:t>Trial sequential analysis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t>Adoption level</w:t>
            </w:r>
          </w:p>
        </w:tc>
      </w:tr>
      <w:tr>
        <w:tc>
          <w:tcPr>
            <w:tcW w:type="dxa" w:w="2880"/>
          </w:tcPr>
          <w:p>
            <w:r>
              <w:t>Stratified randomization</w:t>
            </w:r>
          </w:p>
        </w:tc>
        <w:tc>
          <w:tcPr>
            <w:tcW w:type="dxa" w:w="2880"/>
          </w:tcPr>
          <w:p>
            <w:r>
              <w:t>Risk-based stratification of randomization and analysis</w:t>
            </w:r>
          </w:p>
        </w:tc>
        <w:tc>
          <w:tcPr>
            <w:tcW w:type="dxa" w:w="2880"/>
          </w:tcPr>
          <w:p>
            <w:r>
              <w:t>Common for basic strata; rare for event-rate-driven strata</w:t>
            </w:r>
          </w:p>
        </w:tc>
      </w:tr>
      <w:tr>
        <w:tc>
          <w:tcPr>
            <w:tcW w:type="dxa" w:w="2880"/>
          </w:tcPr>
          <w:p>
            <w:r>
              <w:t>Prognostic enrichment</w:t>
            </w:r>
          </w:p>
        </w:tc>
        <w:tc>
          <w:tcPr>
            <w:tcW w:type="dxa" w:w="2880"/>
          </w:tcPr>
          <w:p>
            <w:r>
              <w:t>Intentional enrollment of high-risk patients to increase event rates</w:t>
            </w:r>
          </w:p>
        </w:tc>
        <w:tc>
          <w:tcPr>
            <w:tcW w:type="dxa" w:w="2880"/>
          </w:tcPr>
          <w:p>
            <w:r>
              <w:t>Endorsed by FDA and EMA guidance; limited in non-drug trials</w:t>
            </w:r>
          </w:p>
        </w:tc>
      </w:tr>
      <w:tr>
        <w:tc>
          <w:tcPr>
            <w:tcW w:type="dxa" w:w="2880"/>
          </w:tcPr>
          <w:p>
            <w:r>
              <w:t>Event-driven design</w:t>
            </w:r>
          </w:p>
        </w:tc>
        <w:tc>
          <w:tcPr>
            <w:tcW w:type="dxa" w:w="2880"/>
          </w:tcPr>
          <w:p>
            <w:r>
              <w:t>Continue enrollment/follow-up until target event count is reached</w:t>
            </w:r>
          </w:p>
        </w:tc>
        <w:tc>
          <w:tcPr>
            <w:tcW w:type="dxa" w:w="2880"/>
          </w:tcPr>
          <w:p>
            <w:r>
              <w:t>Common in cardiology and oncology; rare in other specialties</w:t>
            </w:r>
          </w:p>
        </w:tc>
      </w:tr>
      <w:tr>
        <w:tc>
          <w:tcPr>
            <w:tcW w:type="dxa" w:w="2880"/>
          </w:tcPr>
          <w:p>
            <w:r>
              <w:t>Adaptive sample size re-estimation</w:t>
            </w:r>
          </w:p>
        </w:tc>
        <w:tc>
          <w:tcPr>
            <w:tcW w:type="dxa" w:w="2880"/>
          </w:tcPr>
          <w:p>
            <w:r>
              <w:t>Mid-trial re-estimation of required sample size based on observed event rates</w:t>
            </w:r>
          </w:p>
        </w:tc>
        <w:tc>
          <w:tcPr>
            <w:tcW w:type="dxa" w:w="2880"/>
          </w:tcPr>
          <w:p>
            <w:r>
              <w:t>Statistically powerful; regulatory complexity limits adoption</w:t>
            </w:r>
          </w:p>
        </w:tc>
      </w:tr>
      <w:tr>
        <w:tc>
          <w:tcPr>
            <w:tcW w:type="dxa" w:w="2880"/>
          </w:tcPr>
          <w:p>
            <w:r>
              <w:t>External data-informed design</w:t>
            </w:r>
          </w:p>
        </w:tc>
        <w:tc>
          <w:tcPr>
            <w:tcW w:type="dxa" w:w="2880"/>
          </w:tcPr>
          <w:p>
            <w:r>
              <w:t>Use retrospective data to quantify expected event loss and adjust design</w:t>
            </w:r>
          </w:p>
        </w:tc>
        <w:tc>
          <w:tcPr>
            <w:tcW w:type="dxa" w:w="2880"/>
          </w:tcPr>
          <w:p>
            <w:r>
              <w:t>Ideal but very rare in practice</w:t>
            </w:r>
          </w:p>
        </w:tc>
      </w:tr>
      <w:tr>
        <w:tc>
          <w:tcPr>
            <w:tcW w:type="dxa" w:w="2880"/>
          </w:tcPr>
          <w:p>
            <w:r>
              <w:t>Pragmatic / registry-based trials</w:t>
            </w:r>
          </w:p>
        </w:tc>
        <w:tc>
          <w:tcPr>
            <w:tcW w:type="dxa" w:w="2880"/>
          </w:tcPr>
          <w:p>
            <w:r>
              <w:t>Broad eligibility, minimal exclusions, real-world enrollment</w:t>
            </w:r>
          </w:p>
        </w:tc>
        <w:tc>
          <w:tcPr>
            <w:tcW w:type="dxa" w:w="2880"/>
          </w:tcPr>
          <w:p>
            <w:r>
              <w:t>Growing (e.g., REMAP-CAP, RECOVERY) but not yet standard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 H assessment</w:t>
            </w:r>
          </w:p>
        </w:tc>
        <w:tc>
          <w:tcPr>
            <w:tcW w:type="dxa" w:w="2160"/>
          </w:tcPr>
          <w:p>
            <w:r>
              <w:t>GRADE domain</w:t>
            </w:r>
          </w:p>
        </w:tc>
        <w:tc>
          <w:tcPr>
            <w:tcW w:type="dxa" w:w="2160"/>
          </w:tcPr>
          <w:p>
            <w:r>
              <w:t>Analytical tool</w:t>
            </w:r>
          </w:p>
        </w:tc>
        <w:tc>
          <w:tcPr>
            <w:tcW w:type="dxa" w:w="2160"/>
          </w:tcPr>
          <w:p>
            <w:r>
              <w:t>Decision criterion</w:t>
            </w:r>
          </w:p>
        </w:tc>
      </w:tr>
      <w:tr>
        <w:tc>
          <w:tcPr>
            <w:tcW w:type="dxa" w:w="2160"/>
          </w:tcPr>
          <w:p>
            <w:r>
              <w:t>Information sufficiency</w:t>
            </w:r>
          </w:p>
        </w:tc>
        <w:tc>
          <w:tcPr>
            <w:tcW w:type="dxa" w:w="2160"/>
          </w:tcPr>
          <w:p>
            <w:r>
              <w:t>Imprecision</w:t>
            </w:r>
          </w:p>
        </w:tc>
        <w:tc>
          <w:tcPr>
            <w:tcW w:type="dxa" w:w="2160"/>
          </w:tcPr>
          <w:p>
            <w:r>
              <w:t>OIS calculation</w:t>
            </w:r>
          </w:p>
        </w:tc>
        <w:tc>
          <w:tcPr>
            <w:tcW w:type="dxa" w:w="2160"/>
          </w:tcPr>
          <w:p>
            <w:r>
              <w:t>Total events &lt; OIS: informationally insufficient</w:t>
            </w:r>
          </w:p>
        </w:tc>
      </w:tr>
      <w:tr>
        <w:tc>
          <w:tcPr>
            <w:tcW w:type="dxa" w:w="2160"/>
          </w:tcPr>
          <w:p>
            <w:r>
              <w:t>CI assessment</w:t>
            </w:r>
          </w:p>
        </w:tc>
        <w:tc>
          <w:tcPr>
            <w:tcW w:type="dxa" w:w="2160"/>
          </w:tcPr>
          <w:p>
            <w:r>
              <w:t>Imprecision</w:t>
            </w:r>
          </w:p>
        </w:tc>
        <w:tc>
          <w:tcPr>
            <w:tcW w:type="dxa" w:w="2160"/>
          </w:tcPr>
          <w:p>
            <w:r>
              <w:t>CI inspection</w:t>
            </w:r>
          </w:p>
        </w:tc>
        <w:tc>
          <w:tcPr>
            <w:tcW w:type="dxa" w:w="2160"/>
          </w:tcPr>
          <w:p>
            <w:r>
              <w:t>CI spans benefit through null: inconclusive</w:t>
            </w:r>
          </w:p>
        </w:tc>
      </w:tr>
      <w:tr>
        <w:tc>
          <w:tcPr>
            <w:tcW w:type="dxa" w:w="2160"/>
          </w:tcPr>
          <w:p>
            <w:r>
              <w:t>Representativeness</w:t>
            </w:r>
          </w:p>
        </w:tc>
        <w:tc>
          <w:tcPr>
            <w:tcW w:type="dxa" w:w="2160"/>
          </w:tcPr>
          <w:p>
            <w:r>
              <w:t>Indirectness</w:t>
            </w:r>
          </w:p>
        </w:tc>
        <w:tc>
          <w:tcPr>
            <w:tcW w:type="dxa" w:w="2160"/>
          </w:tcPr>
          <w:p>
            <w:r>
              <w:t>Module K event rate ratio</w:t>
            </w:r>
          </w:p>
        </w:tc>
        <w:tc>
          <w:tcPr>
            <w:tcW w:type="dxa" w:w="2160"/>
          </w:tcPr>
          <w:p>
            <w:r>
              <w:t>Event rate ratio &gt; 1.5 or &lt; 0.67: indirectness concern</w:t>
            </w:r>
          </w:p>
        </w:tc>
      </w:tr>
      <w:tr>
        <w:tc>
          <w:tcPr>
            <w:tcW w:type="dxa" w:w="2160"/>
          </w:tcPr>
          <w:p>
            <w:r>
              <w:t>TSA</w:t>
            </w:r>
          </w:p>
        </w:tc>
        <w:tc>
          <w:tcPr>
            <w:tcW w:type="dxa" w:w="2160"/>
          </w:tcPr>
          <w:p>
            <w:r>
              <w:t>Imprecision</w:t>
            </w:r>
          </w:p>
        </w:tc>
        <w:tc>
          <w:tcPr>
            <w:tcW w:type="dxa" w:w="2160"/>
          </w:tcPr>
          <w:p>
            <w:r>
              <w:t>Sequential monitoring boundaries</w:t>
            </w:r>
          </w:p>
        </w:tc>
        <w:tc>
          <w:tcPr>
            <w:tcW w:type="dxa" w:w="2160"/>
          </w:tcPr>
          <w:p>
            <w:r>
              <w:t>Boundaries not crossed: interim analysis equivalent</w:t>
            </w:r>
          </w:p>
        </w:tc>
      </w:tr>
      <w:tr>
        <w:tc>
          <w:tcPr>
            <w:tcW w:type="dxa" w:w="2160"/>
          </w:tcPr>
          <w:p>
            <w:r>
              <w:t>Recommendation language</w:t>
            </w:r>
          </w:p>
        </w:tc>
        <w:tc>
          <w:tcPr>
            <w:tcW w:type="dxa" w:w="2160"/>
          </w:tcPr>
          <w:p>
            <w:r>
              <w:t>Overall assessment</w:t>
            </w:r>
          </w:p>
        </w:tc>
        <w:tc>
          <w:tcPr>
            <w:tcW w:type="dxa" w:w="2160"/>
          </w:tcPr>
          <w:p>
            <w:r>
              <w:t>Standardized templates</w:t>
            </w:r>
          </w:p>
        </w:tc>
        <w:tc>
          <w:tcPr>
            <w:tcW w:type="dxa" w:w="2160"/>
          </w:tcPr>
          <w:p>
            <w:r>
              <w:t>Tailored to information sufficiency classification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Study</w:t>
            </w:r>
          </w:p>
        </w:tc>
        <w:tc>
          <w:tcPr>
            <w:tcW w:type="dxa" w:w="1080"/>
          </w:tcPr>
          <w:p>
            <w:r>
              <w:t>Year</w:t>
            </w:r>
          </w:p>
        </w:tc>
        <w:tc>
          <w:tcPr>
            <w:tcW w:type="dxa" w:w="1080"/>
          </w:tcPr>
          <w:p>
            <w:r>
              <w:t>Era</w:t>
            </w:r>
          </w:p>
        </w:tc>
        <w:tc>
          <w:tcPr>
            <w:tcW w:type="dxa" w:w="1080"/>
          </w:tcPr>
          <w:p>
            <w:r>
              <w:t>Events (Mg)</w:t>
            </w:r>
          </w:p>
        </w:tc>
        <w:tc>
          <w:tcPr>
            <w:tcW w:type="dxa" w:w="1080"/>
          </w:tcPr>
          <w:p>
            <w:r>
              <w:t>N (Mg)</w:t>
            </w:r>
          </w:p>
        </w:tc>
        <w:tc>
          <w:tcPr>
            <w:tcW w:type="dxa" w:w="1080"/>
          </w:tcPr>
          <w:p>
            <w:r>
              <w:t>Events (Ctrl)</w:t>
            </w:r>
          </w:p>
        </w:tc>
        <w:tc>
          <w:tcPr>
            <w:tcW w:type="dxa" w:w="1080"/>
          </w:tcPr>
          <w:p>
            <w:r>
              <w:t>N (Ctrl)</w:t>
            </w:r>
          </w:p>
        </w:tc>
        <w:tc>
          <w:tcPr>
            <w:tcW w:type="dxa" w:w="1080"/>
          </w:tcPr>
          <w:p>
            <w:r>
              <w:t>Control rate</w:t>
            </w:r>
          </w:p>
        </w:tc>
      </w:tr>
      <w:tr>
        <w:tc>
          <w:tcPr>
            <w:tcW w:type="dxa" w:w="1080"/>
          </w:tcPr>
          <w:p>
            <w:r>
              <w:t>Morton 1984</w:t>
            </w:r>
          </w:p>
        </w:tc>
        <w:tc>
          <w:tcPr>
            <w:tcW w:type="dxa" w:w="1080"/>
          </w:tcPr>
          <w:p>
            <w:r>
              <w:t>1984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5.6%</w:t>
            </w:r>
          </w:p>
        </w:tc>
      </w:tr>
      <w:tr>
        <w:tc>
          <w:tcPr>
            <w:tcW w:type="dxa" w:w="1080"/>
          </w:tcPr>
          <w:p>
            <w:r>
              <w:t>Rasmussen 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11.4%</w:t>
            </w:r>
          </w:p>
        </w:tc>
      </w:tr>
      <w:tr>
        <w:tc>
          <w:tcPr>
            <w:tcW w:type="dxa" w:w="1080"/>
          </w:tcPr>
          <w:p>
            <w:r>
              <w:t>Smith 1986</w:t>
            </w:r>
          </w:p>
        </w:tc>
        <w:tc>
          <w:tcPr>
            <w:tcW w:type="dxa" w:w="1080"/>
          </w:tcPr>
          <w:p>
            <w:r>
              <w:t>1986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3.5%</w:t>
            </w:r>
          </w:p>
        </w:tc>
      </w:tr>
      <w:tr>
        <w:tc>
          <w:tcPr>
            <w:tcW w:type="dxa" w:w="1080"/>
          </w:tcPr>
          <w:p>
            <w:r>
              <w:t>Abraham 1987</w:t>
            </w:r>
          </w:p>
        </w:tc>
        <w:tc>
          <w:tcPr>
            <w:tcW w:type="dxa" w:w="1080"/>
          </w:tcPr>
          <w:p>
            <w:r>
              <w:t>1987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2.2%</w:t>
            </w:r>
          </w:p>
        </w:tc>
      </w:tr>
      <w:tr>
        <w:tc>
          <w:tcPr>
            <w:tcW w:type="dxa" w:w="1080"/>
          </w:tcPr>
          <w:p>
            <w:r>
              <w:t>Ceremuzynski 1989</w:t>
            </w:r>
          </w:p>
        </w:tc>
        <w:tc>
          <w:tcPr>
            <w:tcW w:type="dxa" w:w="1080"/>
          </w:tcPr>
          <w:p>
            <w:r>
              <w:t>1989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13.0%</w:t>
            </w:r>
          </w:p>
        </w:tc>
      </w:tr>
      <w:tr>
        <w:tc>
          <w:tcPr>
            <w:tcW w:type="dxa" w:w="1080"/>
          </w:tcPr>
          <w:p>
            <w:r>
              <w:t>Shechter 1990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17.0%</w:t>
            </w:r>
          </w:p>
        </w:tc>
      </w:tr>
      <w:tr>
        <w:tc>
          <w:tcPr>
            <w:tcW w:type="dxa" w:w="1080"/>
          </w:tcPr>
          <w:p>
            <w:r>
              <w:t>Singh 1990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Pre-thrombolysis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29.7%</w:t>
            </w:r>
          </w:p>
        </w:tc>
      </w:tr>
      <w:tr>
        <w:tc>
          <w:tcPr>
            <w:tcW w:type="dxa" w:w="1080"/>
          </w:tcPr>
          <w:p>
            <w:r>
              <w:t>Feldstedt 1991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Transition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7.0%</w:t>
            </w:r>
          </w:p>
        </w:tc>
      </w:tr>
      <w:tr>
        <w:tc>
          <w:tcPr>
            <w:tcW w:type="dxa" w:w="1080"/>
          </w:tcPr>
          <w:p>
            <w:r>
              <w:t>Schechter 1991</w:t>
            </w:r>
          </w:p>
        </w:tc>
        <w:tc>
          <w:tcPr>
            <w:tcW w:type="dxa" w:w="1080"/>
          </w:tcPr>
          <w:p>
            <w:r>
              <w:t>1991</w:t>
            </w:r>
          </w:p>
        </w:tc>
        <w:tc>
          <w:tcPr>
            <w:tcW w:type="dxa" w:w="1080"/>
          </w:tcPr>
          <w:p>
            <w:r>
              <w:t>Transition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3.5%</w:t>
            </w:r>
          </w:p>
        </w:tc>
      </w:tr>
      <w:tr>
        <w:tc>
          <w:tcPr>
            <w:tcW w:type="dxa" w:w="1080"/>
          </w:tcPr>
          <w:p>
            <w:r>
              <w:t>LIMIT-2 1992</w:t>
            </w:r>
          </w:p>
        </w:tc>
        <w:tc>
          <w:tcPr>
            <w:tcW w:type="dxa" w:w="1080"/>
          </w:tcPr>
          <w:p>
            <w:r>
              <w:t>1992</w:t>
            </w:r>
          </w:p>
        </w:tc>
        <w:tc>
          <w:tcPr>
            <w:tcW w:type="dxa" w:w="1080"/>
          </w:tcPr>
          <w:p>
            <w:r>
              <w:t>Thrombolysis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1,159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1,157</w:t>
            </w:r>
          </w:p>
        </w:tc>
        <w:tc>
          <w:tcPr>
            <w:tcW w:type="dxa" w:w="1080"/>
          </w:tcPr>
          <w:p>
            <w:r>
              <w:t>10.2%</w:t>
            </w:r>
          </w:p>
        </w:tc>
      </w:tr>
      <w:tr>
        <w:tc>
          <w:tcPr>
            <w:tcW w:type="dxa" w:w="1080"/>
          </w:tcPr>
          <w:p>
            <w:r>
              <w:t>Shechter 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Thrombolysis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15.7%</w:t>
            </w:r>
          </w:p>
        </w:tc>
      </w:tr>
      <w:tr>
        <w:tc>
          <w:tcPr>
            <w:tcW w:type="dxa" w:w="1080"/>
          </w:tcPr>
          <w:p>
            <w:r>
              <w:t>ISIS-4 1995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  <w:tc>
          <w:tcPr>
            <w:tcW w:type="dxa" w:w="1080"/>
          </w:tcPr>
          <w:p>
            <w:r>
              <w:t>Thrombolysis</w:t>
            </w:r>
          </w:p>
        </w:tc>
        <w:tc>
          <w:tcPr>
            <w:tcW w:type="dxa" w:w="1080"/>
          </w:tcPr>
          <w:p>
            <w:r>
              <w:t>2216</w:t>
            </w:r>
          </w:p>
        </w:tc>
        <w:tc>
          <w:tcPr>
            <w:tcW w:type="dxa" w:w="1080"/>
          </w:tcPr>
          <w:p>
            <w:r>
              <w:t>29,011</w:t>
            </w:r>
          </w:p>
        </w:tc>
        <w:tc>
          <w:tcPr>
            <w:tcW w:type="dxa" w:w="1080"/>
          </w:tcPr>
          <w:p>
            <w:r>
              <w:t>2103</w:t>
            </w:r>
          </w:p>
        </w:tc>
        <w:tc>
          <w:tcPr>
            <w:tcW w:type="dxa" w:w="1080"/>
          </w:tcPr>
          <w:p>
            <w:r>
              <w:t>29,039</w:t>
            </w:r>
          </w:p>
        </w:tc>
        <w:tc>
          <w:tcPr>
            <w:tcW w:type="dxa" w:w="1080"/>
          </w:tcPr>
          <w:p>
            <w:r>
              <w:t>7.2%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Study</w:t>
            </w:r>
          </w:p>
        </w:tc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HR (95% CI)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</w:tr>
      <w:tr>
        <w:tc>
          <w:tcPr>
            <w:tcW w:type="dxa" w:w="1728"/>
          </w:tcPr>
          <w:p>
            <w:r>
              <w:t>Mozaffarian 2004</w:t>
            </w:r>
          </w:p>
        </w:tc>
        <w:tc>
          <w:tcPr>
            <w:tcW w:type="dxa" w:w="1728"/>
          </w:tcPr>
          <w:p>
            <w:r>
              <w:t>OBS</w:t>
            </w:r>
          </w:p>
        </w:tc>
        <w:tc>
          <w:tcPr>
            <w:tcW w:type="dxa" w:w="1728"/>
          </w:tcPr>
          <w:p>
            <w:r>
              <w:t>0.62 (0.49–0.78)</w:t>
            </w:r>
          </w:p>
        </w:tc>
        <w:tc>
          <w:tcPr>
            <w:tcW w:type="dxa" w:w="1728"/>
          </w:tcPr>
          <w:p>
            <w:r>
              <w:t>1,153</w:t>
            </w:r>
          </w:p>
        </w:tc>
        <w:tc>
          <w:tcPr>
            <w:tcW w:type="dxa" w:w="1728"/>
          </w:tcPr>
          <w:p>
            <w:r>
              <w:t>356</w:t>
            </w:r>
          </w:p>
        </w:tc>
      </w:tr>
      <w:tr>
        <w:tc>
          <w:tcPr>
            <w:tcW w:type="dxa" w:w="1728"/>
          </w:tcPr>
          <w:p>
            <w:r>
              <w:t>Horwich 2004</w:t>
            </w:r>
          </w:p>
        </w:tc>
        <w:tc>
          <w:tcPr>
            <w:tcW w:type="dxa" w:w="1728"/>
          </w:tcPr>
          <w:p>
            <w:r>
              <w:t>OBS</w:t>
            </w:r>
          </w:p>
        </w:tc>
        <w:tc>
          <w:tcPr>
            <w:tcW w:type="dxa" w:w="1728"/>
          </w:tcPr>
          <w:p>
            <w:r>
              <w:t>0.59 (0.44–0.78)</w:t>
            </w:r>
          </w:p>
        </w:tc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189</w:t>
            </w:r>
          </w:p>
        </w:tc>
      </w:tr>
      <w:tr>
        <w:tc>
          <w:tcPr>
            <w:tcW w:type="dxa" w:w="1728"/>
          </w:tcPr>
          <w:p>
            <w:r>
              <w:t>Go 2006</w:t>
            </w:r>
          </w:p>
        </w:tc>
        <w:tc>
          <w:tcPr>
            <w:tcW w:type="dxa" w:w="1728"/>
          </w:tcPr>
          <w:p>
            <w:r>
              <w:t>OBS</w:t>
            </w:r>
          </w:p>
        </w:tc>
        <w:tc>
          <w:tcPr>
            <w:tcW w:type="dxa" w:w="1728"/>
          </w:tcPr>
          <w:p>
            <w:r>
              <w:t>0.69 (0.63–0.75)</w:t>
            </w:r>
          </w:p>
        </w:tc>
        <w:tc>
          <w:tcPr>
            <w:tcW w:type="dxa" w:w="1728"/>
          </w:tcPr>
          <w:p>
            <w:r>
              <w:t>24,598</w:t>
            </w:r>
          </w:p>
        </w:tc>
        <w:tc>
          <w:tcPr>
            <w:tcW w:type="dxa" w:w="1728"/>
          </w:tcPr>
          <w:p>
            <w:r>
              <w:t>5,765</w:t>
            </w:r>
          </w:p>
        </w:tc>
      </w:tr>
      <w:tr>
        <w:tc>
          <w:tcPr>
            <w:tcW w:type="dxa" w:w="1728"/>
          </w:tcPr>
          <w:p>
            <w:r>
              <w:t>Foody 2006</w:t>
            </w:r>
          </w:p>
        </w:tc>
        <w:tc>
          <w:tcPr>
            <w:tcW w:type="dxa" w:w="1728"/>
          </w:tcPr>
          <w:p>
            <w:r>
              <w:t>OBS</w:t>
            </w:r>
          </w:p>
        </w:tc>
        <w:tc>
          <w:tcPr>
            <w:tcW w:type="dxa" w:w="1728"/>
          </w:tcPr>
          <w:p>
            <w:r>
              <w:t>0.82 (0.79–0.85)</w:t>
            </w:r>
          </w:p>
        </w:tc>
        <w:tc>
          <w:tcPr>
            <w:tcW w:type="dxa" w:w="1728"/>
          </w:tcPr>
          <w:p>
            <w:r>
              <w:t>54,960</w:t>
            </w:r>
          </w:p>
        </w:tc>
        <w:tc>
          <w:tcPr>
            <w:tcW w:type="dxa" w:w="1728"/>
          </w:tcPr>
          <w:p>
            <w:r>
              <w:t>16,573</w:t>
            </w:r>
          </w:p>
        </w:tc>
      </w:tr>
      <w:tr>
        <w:tc>
          <w:tcPr>
            <w:tcW w:type="dxa" w:w="1728"/>
          </w:tcPr>
          <w:p>
            <w:r>
              <w:t>Anker 2006</w:t>
            </w:r>
          </w:p>
        </w:tc>
        <w:tc>
          <w:tcPr>
            <w:tcW w:type="dxa" w:w="1728"/>
          </w:tcPr>
          <w:p>
            <w:r>
              <w:t>OBS</w:t>
            </w:r>
          </w:p>
        </w:tc>
        <w:tc>
          <w:tcPr>
            <w:tcW w:type="dxa" w:w="1728"/>
          </w:tcPr>
          <w:p>
            <w:r>
              <w:t>0.75 (0.66–0.85)</w:t>
            </w:r>
          </w:p>
        </w:tc>
        <w:tc>
          <w:tcPr>
            <w:tcW w:type="dxa" w:w="1728"/>
          </w:tcPr>
          <w:p>
            <w:r>
              <w:t>10,510</w:t>
            </w:r>
          </w:p>
        </w:tc>
        <w:tc>
          <w:tcPr>
            <w:tcW w:type="dxa" w:w="1728"/>
          </w:tcPr>
          <w:p>
            <w:r>
              <w:t>2,890</w:t>
            </w:r>
          </w:p>
        </w:tc>
      </w:tr>
      <w:tr>
        <w:tc>
          <w:tcPr>
            <w:tcW w:type="dxa" w:w="1728"/>
          </w:tcPr>
          <w:p>
            <w:r>
              <w:t>CORONA 2007</w:t>
            </w:r>
          </w:p>
        </w:tc>
        <w:tc>
          <w:tcPr>
            <w:tcW w:type="dxa" w:w="1728"/>
          </w:tcPr>
          <w:p>
            <w:r>
              <w:t>RCT</w:t>
            </w:r>
          </w:p>
        </w:tc>
        <w:tc>
          <w:tcPr>
            <w:tcW w:type="dxa" w:w="1728"/>
          </w:tcPr>
          <w:p>
            <w:r>
              <w:t>0.95 (0.86–1.05)</w:t>
            </w:r>
          </w:p>
        </w:tc>
        <w:tc>
          <w:tcPr>
            <w:tcW w:type="dxa" w:w="1728"/>
          </w:tcPr>
          <w:p>
            <w:r>
              <w:t>5,011</w:t>
            </w:r>
          </w:p>
        </w:tc>
        <w:tc>
          <w:tcPr>
            <w:tcW w:type="dxa" w:w="1728"/>
          </w:tcPr>
          <w:p>
            <w:r>
              <w:t>728</w:t>
            </w:r>
          </w:p>
        </w:tc>
      </w:tr>
      <w:tr>
        <w:tc>
          <w:tcPr>
            <w:tcW w:type="dxa" w:w="1728"/>
          </w:tcPr>
          <w:p>
            <w:r>
              <w:t>GISSI-HF 2008</w:t>
            </w:r>
          </w:p>
        </w:tc>
        <w:tc>
          <w:tcPr>
            <w:tcW w:type="dxa" w:w="1728"/>
          </w:tcPr>
          <w:p>
            <w:r>
              <w:t>RCT</w:t>
            </w:r>
          </w:p>
        </w:tc>
        <w:tc>
          <w:tcPr>
            <w:tcW w:type="dxa" w:w="1728"/>
          </w:tcPr>
          <w:p>
            <w:r>
              <w:t>1.00 (0.90–1.12)</w:t>
            </w:r>
          </w:p>
        </w:tc>
        <w:tc>
          <w:tcPr>
            <w:tcW w:type="dxa" w:w="1728"/>
          </w:tcPr>
          <w:p>
            <w:r>
              <w:t>4,574</w:t>
            </w:r>
          </w:p>
        </w:tc>
        <w:tc>
          <w:tcPr>
            <w:tcW w:type="dxa" w:w="1728"/>
          </w:tcPr>
          <w:p>
            <w:r>
              <w:t>657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$\alpha$</w:t>
            </w:r>
          </w:p>
        </w:tc>
        <w:tc>
          <w:tcPr>
            <w:tcW w:type="dxa" w:w="1728"/>
          </w:tcPr>
          <w:p>
            <w:r>
              <w:t>OR (95% CrI)</w:t>
            </w:r>
          </w:p>
        </w:tc>
        <w:tc>
          <w:tcPr>
            <w:tcW w:type="dxa" w:w="1728"/>
          </w:tcPr>
          <w:p>
            <w:r>
              <w:t>P(OR &lt; 1)</w:t>
            </w:r>
          </w:p>
        </w:tc>
        <w:tc>
          <w:tcPr>
            <w:tcW w:type="dxa" w:w="1728"/>
          </w:tcPr>
          <w:p>
            <w:r>
              <w:t>P(OR &lt; 0.90)</w:t>
            </w:r>
          </w:p>
        </w:tc>
        <w:tc>
          <w:tcPr>
            <w:tcW w:type="dxa" w:w="1728"/>
          </w:tcPr>
          <w:p>
            <w:r>
              <w:t>P(OR &lt; 0.80)</w:t>
            </w:r>
          </w:p>
        </w:tc>
      </w:tr>
      <w:tr>
        <w:tc>
          <w:tcPr>
            <w:tcW w:type="dxa" w:w="1728"/>
          </w:tcPr>
          <w:p>
            <w:r>
              <w:t>0.0 (ISIS-4 only)</w:t>
            </w:r>
          </w:p>
        </w:tc>
        <w:tc>
          <w:tcPr>
            <w:tcW w:type="dxa" w:w="1728"/>
          </w:tcPr>
          <w:p>
            <w:r>
              <w:t>1.11 (0.43–7.03)</w:t>
            </w:r>
          </w:p>
        </w:tc>
        <w:tc>
          <w:tcPr>
            <w:tcW w:type="dxa" w:w="1728"/>
          </w:tcPr>
          <w:p>
            <w:r>
              <w:t>30.6%</w:t>
            </w:r>
          </w:p>
        </w:tc>
        <w:tc>
          <w:tcPr>
            <w:tcW w:type="dxa" w:w="1728"/>
          </w:tcPr>
          <w:p>
            <w:r>
              <w:t>22.2%</w:t>
            </w:r>
          </w:p>
        </w:tc>
        <w:tc>
          <w:tcPr>
            <w:tcW w:type="dxa" w:w="1728"/>
          </w:tcPr>
          <w:p>
            <w:r>
              <w:t>16.2%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1.00 (0.31–3.51)</w:t>
            </w:r>
          </w:p>
        </w:tc>
        <w:tc>
          <w:tcPr>
            <w:tcW w:type="dxa" w:w="1728"/>
          </w:tcPr>
          <w:p>
            <w:r>
              <w:t>50.7%</w:t>
            </w:r>
          </w:p>
        </w:tc>
        <w:tc>
          <w:tcPr>
            <w:tcW w:type="dxa" w:w="1728"/>
          </w:tcPr>
          <w:p>
            <w:r>
              <w:t>36.6%</w:t>
            </w:r>
          </w:p>
        </w:tc>
        <w:tc>
          <w:tcPr>
            <w:tcW w:type="dxa" w:w="1728"/>
          </w:tcPr>
          <w:p>
            <w:r>
              <w:t>27.9%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0.85 (0.31–2.50)</w:t>
            </w:r>
          </w:p>
        </w:tc>
        <w:tc>
          <w:tcPr>
            <w:tcW w:type="dxa" w:w="1728"/>
          </w:tcPr>
          <w:p>
            <w:r>
              <w:t>66.5%</w:t>
            </w:r>
          </w:p>
        </w:tc>
        <w:tc>
          <w:tcPr>
            <w:tcW w:type="dxa" w:w="1728"/>
          </w:tcPr>
          <w:p>
            <w:r>
              <w:t>55.0%</w:t>
            </w:r>
          </w:p>
        </w:tc>
        <w:tc>
          <w:tcPr>
            <w:tcW w:type="dxa" w:w="1728"/>
          </w:tcPr>
          <w:p>
            <w:r>
              <w:t>45.8%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0.73 (0.28–2.09)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  <w:tc>
          <w:tcPr>
            <w:tcW w:type="dxa" w:w="1728"/>
          </w:tcPr>
          <w:p>
            <w:r>
              <w:t>66.3%</w:t>
            </w:r>
          </w:p>
        </w:tc>
        <w:tc>
          <w:tcPr>
            <w:tcW w:type="dxa" w:w="1728"/>
          </w:tcPr>
          <w:p>
            <w:r>
              <w:t>56.9%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0.61 (0.28–1.30)</w:t>
            </w:r>
          </w:p>
        </w:tc>
        <w:tc>
          <w:tcPr>
            <w:tcW w:type="dxa" w:w="1728"/>
          </w:tcPr>
          <w:p>
            <w:r>
              <w:t>92.6%</w:t>
            </w:r>
          </w:p>
        </w:tc>
        <w:tc>
          <w:tcPr>
            <w:tcW w:type="dxa" w:w="1728"/>
          </w:tcPr>
          <w:p>
            <w:r>
              <w:t>87.3%</w:t>
            </w:r>
          </w:p>
        </w:tc>
        <w:tc>
          <w:tcPr>
            <w:tcW w:type="dxa" w:w="1728"/>
          </w:tcPr>
          <w:p>
            <w:r>
              <w:t>77.1%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0.57 (0.29–1.05)</w:t>
            </w:r>
          </w:p>
        </w:tc>
        <w:tc>
          <w:tcPr>
            <w:tcW w:type="dxa" w:w="1728"/>
          </w:tcPr>
          <w:p>
            <w:r>
              <w:t>96.6%</w:t>
            </w:r>
          </w:p>
        </w:tc>
        <w:tc>
          <w:tcPr>
            <w:tcW w:type="dxa" w:w="1728"/>
          </w:tcPr>
          <w:p>
            <w:r>
              <w:t>94.1%</w:t>
            </w:r>
          </w:p>
        </w:tc>
        <w:tc>
          <w:tcPr>
            <w:tcW w:type="dxa" w:w="1728"/>
          </w:tcPr>
          <w:p>
            <w:r>
              <w:t>87.4%</w:t>
            </w:r>
          </w:p>
        </w:tc>
      </w:tr>
      <w:tr>
        <w:tc>
          <w:tcPr>
            <w:tcW w:type="dxa" w:w="1728"/>
          </w:tcPr>
          <w:p>
            <w:r>
              <w:t>1.0 (full weight)</w:t>
            </w:r>
          </w:p>
        </w:tc>
        <w:tc>
          <w:tcPr>
            <w:tcW w:type="dxa" w:w="1728"/>
          </w:tcPr>
          <w:p>
            <w:r>
              <w:t>0.54 (0.32–0.91)</w:t>
            </w:r>
          </w:p>
        </w:tc>
        <w:tc>
          <w:tcPr>
            <w:tcW w:type="dxa" w:w="1728"/>
          </w:tcPr>
          <w:p>
            <w:r>
              <w:t>98.7%</w:t>
            </w:r>
          </w:p>
        </w:tc>
        <w:tc>
          <w:tcPr>
            <w:tcW w:type="dxa" w:w="1728"/>
          </w:tcPr>
          <w:p>
            <w:r>
              <w:t>97.2%</w:t>
            </w:r>
          </w:p>
        </w:tc>
        <w:tc>
          <w:tcPr>
            <w:tcW w:type="dxa" w:w="1728"/>
          </w:tcPr>
          <w:p>
            <w:r>
              <w:t>93.5%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$\alpha$</w:t>
            </w:r>
          </w:p>
        </w:tc>
        <w:tc>
          <w:tcPr>
            <w:tcW w:type="dxa" w:w="1728"/>
          </w:tcPr>
          <w:p>
            <w:r>
              <w:t>HR (95% CrI)</w:t>
            </w:r>
          </w:p>
        </w:tc>
        <w:tc>
          <w:tcPr>
            <w:tcW w:type="dxa" w:w="1728"/>
          </w:tcPr>
          <w:p>
            <w:r>
              <w:t>P(HR &lt; 1)</w:t>
            </w:r>
          </w:p>
        </w:tc>
        <w:tc>
          <w:tcPr>
            <w:tcW w:type="dxa" w:w="1728"/>
          </w:tcPr>
          <w:p>
            <w:r>
              <w:t>P(HR &lt; 0.90)</w:t>
            </w:r>
          </w:p>
        </w:tc>
        <w:tc>
          <w:tcPr>
            <w:tcW w:type="dxa" w:w="1728"/>
          </w:tcPr>
          <w:p>
            <w:r>
              <w:t>P(HR &lt; 0.80)</w:t>
            </w:r>
          </w:p>
        </w:tc>
      </w:tr>
      <w:tr>
        <w:tc>
          <w:tcPr>
            <w:tcW w:type="dxa" w:w="1728"/>
          </w:tcPr>
          <w:p>
            <w:r>
              <w:t>0.0 (RCTs only)</w:t>
            </w:r>
          </w:p>
        </w:tc>
        <w:tc>
          <w:tcPr>
            <w:tcW w:type="dxa" w:w="1728"/>
          </w:tcPr>
          <w:p>
            <w:r>
              <w:t>0.98 (0.63–2.35)</w:t>
            </w:r>
          </w:p>
        </w:tc>
        <w:tc>
          <w:tcPr>
            <w:tcW w:type="dxa" w:w="1728"/>
          </w:tcPr>
          <w:p>
            <w:r>
              <w:t>60.9%</w:t>
            </w:r>
          </w:p>
        </w:tc>
        <w:tc>
          <w:tcPr>
            <w:tcW w:type="dxa" w:w="1728"/>
          </w:tcPr>
          <w:p>
            <w:r>
              <w:t>17.7%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0.92 (0.63–2.19)</w:t>
            </w:r>
          </w:p>
        </w:tc>
        <w:tc>
          <w:tcPr>
            <w:tcW w:type="dxa" w:w="1728"/>
          </w:tcPr>
          <w:p>
            <w:r>
              <w:t>70.4%</w:t>
            </w:r>
          </w:p>
        </w:tc>
        <w:tc>
          <w:tcPr>
            <w:tcW w:type="dxa" w:w="1728"/>
          </w:tcPr>
          <w:p>
            <w:r>
              <w:t>43.5%</w:t>
            </w:r>
          </w:p>
        </w:tc>
        <w:tc>
          <w:tcPr>
            <w:tcW w:type="dxa" w:w="1728"/>
          </w:tcPr>
          <w:p>
            <w:r>
              <w:t>17.7%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0.88 (0.60–1.80)</w:t>
            </w:r>
          </w:p>
        </w:tc>
        <w:tc>
          <w:tcPr>
            <w:tcW w:type="dxa" w:w="1728"/>
          </w:tcPr>
          <w:p>
            <w:r>
              <w:t>78.4%</w:t>
            </w:r>
          </w:p>
        </w:tc>
        <w:tc>
          <w:tcPr>
            <w:tcW w:type="dxa" w:w="1728"/>
          </w:tcPr>
          <w:p>
            <w:r>
              <w:t>57.0%</w:t>
            </w:r>
          </w:p>
        </w:tc>
        <w:tc>
          <w:tcPr>
            <w:tcW w:type="dxa" w:w="1728"/>
          </w:tcPr>
          <w:p>
            <w:r>
              <w:t>26.0%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0.85 (0.59–1.57)</w:t>
            </w:r>
          </w:p>
        </w:tc>
        <w:tc>
          <w:tcPr>
            <w:tcW w:type="dxa" w:w="1728"/>
          </w:tcPr>
          <w:p>
            <w:r>
              <w:t>83.7%</w:t>
            </w:r>
          </w:p>
        </w:tc>
        <w:tc>
          <w:tcPr>
            <w:tcW w:type="dxa" w:w="1728"/>
          </w:tcPr>
          <w:p>
            <w:r>
              <w:t>65.7%</w:t>
            </w:r>
          </w:p>
        </w:tc>
        <w:tc>
          <w:tcPr>
            <w:tcW w:type="dxa" w:w="1728"/>
          </w:tcPr>
          <w:p>
            <w:r>
              <w:t>32.8%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0.82 (0.62–1.15)</w:t>
            </w:r>
          </w:p>
        </w:tc>
        <w:tc>
          <w:tcPr>
            <w:tcW w:type="dxa" w:w="1728"/>
          </w:tcPr>
          <w:p>
            <w:r>
              <w:t>91.9%</w:t>
            </w:r>
          </w:p>
        </w:tc>
        <w:tc>
          <w:tcPr>
            <w:tcW w:type="dxa" w:w="1728"/>
          </w:tcPr>
          <w:p>
            <w:r>
              <w:t>79.2%</w:t>
            </w:r>
          </w:p>
        </w:tc>
        <w:tc>
          <w:tcPr>
            <w:tcW w:type="dxa" w:w="1728"/>
          </w:tcPr>
          <w:p>
            <w:r>
              <w:t>42.5%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0.79 (0.63–1.02)</w:t>
            </w:r>
          </w:p>
        </w:tc>
        <w:tc>
          <w:tcPr>
            <w:tcW w:type="dxa" w:w="1728"/>
          </w:tcPr>
          <w:p>
            <w:r>
              <w:t>96.8%</w:t>
            </w:r>
          </w:p>
        </w:tc>
        <w:tc>
          <w:tcPr>
            <w:tcW w:type="dxa" w:w="1728"/>
          </w:tcPr>
          <w:p>
            <w:r>
              <w:t>88.7%</w:t>
            </w:r>
          </w:p>
        </w:tc>
        <w:tc>
          <w:tcPr>
            <w:tcW w:type="dxa" w:w="1728"/>
          </w:tcPr>
          <w:p>
            <w:r>
              <w:t>53.4%</w:t>
            </w:r>
          </w:p>
        </w:tc>
      </w:tr>
      <w:tr>
        <w:tc>
          <w:tcPr>
            <w:tcW w:type="dxa" w:w="1728"/>
          </w:tcPr>
          <w:p>
            <w:r>
              <w:t>1.0 (full weight)</w:t>
            </w:r>
          </w:p>
        </w:tc>
        <w:tc>
          <w:tcPr>
            <w:tcW w:type="dxa" w:w="1728"/>
          </w:tcPr>
          <w:p>
            <w:r>
              <w:t>0.78 (0.65–0.95)</w:t>
            </w:r>
          </w:p>
        </w:tc>
        <w:tc>
          <w:tcPr>
            <w:tcW w:type="dxa" w:w="1728"/>
          </w:tcPr>
          <w:p>
            <w:r>
              <w:t>99.1%</w:t>
            </w:r>
          </w:p>
        </w:tc>
        <w:tc>
          <w:tcPr>
            <w:tcW w:type="dxa" w:w="1728"/>
          </w:tcPr>
          <w:p>
            <w:r>
              <w:t>94.8%</w:t>
            </w:r>
          </w:p>
        </w:tc>
        <w:tc>
          <w:tcPr>
            <w:tcW w:type="dxa" w:w="1728"/>
          </w:tcPr>
          <w:p>
            <w:r>
              <w:t>64.1%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GRADE domain</w:t>
            </w:r>
          </w:p>
        </w:tc>
        <w:tc>
          <w:tcPr>
            <w:tcW w:type="dxa" w:w="1728"/>
          </w:tcPr>
          <w:p>
            <w:r>
              <w:t>Standard (Mg in AMI)</w:t>
            </w:r>
          </w:p>
        </w:tc>
        <w:tc>
          <w:tcPr>
            <w:tcW w:type="dxa" w:w="1728"/>
          </w:tcPr>
          <w:p>
            <w:r>
              <w:t>KOTHA (Mg in AMI)</w:t>
            </w:r>
          </w:p>
        </w:tc>
        <w:tc>
          <w:tcPr>
            <w:tcW w:type="dxa" w:w="1728"/>
          </w:tcPr>
          <w:p>
            <w:r>
              <w:t>Standard (Statins HF)</w:t>
            </w:r>
          </w:p>
        </w:tc>
        <w:tc>
          <w:tcPr>
            <w:tcW w:type="dxa" w:w="1728"/>
          </w:tcPr>
          <w:p>
            <w:r>
              <w:t>KOTHA (Statins HF)</w:t>
            </w:r>
          </w:p>
        </w:tc>
      </w:tr>
      <w:tr>
        <w:tc>
          <w:tcPr>
            <w:tcW w:type="dxa" w:w="1728"/>
          </w:tcPr>
          <w:p>
            <w:r>
              <w:t>Risk of bias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Inconsistency</w:t>
            </w:r>
          </w:p>
        </w:tc>
        <w:tc>
          <w:tcPr>
            <w:tcW w:type="dxa" w:w="1728"/>
          </w:tcPr>
          <w:p>
            <w:r>
              <w:t>High (I² = 62%)</w:t>
            </w:r>
          </w:p>
        </w:tc>
        <w:tc>
          <w:tcPr>
            <w:tcW w:type="dxa" w:w="1728"/>
          </w:tcPr>
          <w:p>
            <w:r>
              <w:t>High (I² = 62%)</w:t>
            </w:r>
          </w:p>
        </w:tc>
        <w:tc>
          <w:tcPr>
            <w:tcW w:type="dxa" w:w="1728"/>
          </w:tcPr>
          <w:p>
            <w:r>
              <w:t>Low (I² = 0%)</w:t>
            </w:r>
          </w:p>
        </w:tc>
        <w:tc>
          <w:tcPr>
            <w:tcW w:type="dxa" w:w="1728"/>
          </w:tcPr>
          <w:p>
            <w:r>
              <w:t>Low (I² = 0%)</w:t>
            </w:r>
          </w:p>
        </w:tc>
      </w:tr>
      <w:tr>
        <w:tc>
          <w:tcPr>
            <w:tcW w:type="dxa" w:w="1728"/>
          </w:tcPr>
          <w:p>
            <w:r>
              <w:t>Indirectness</w:t>
            </w:r>
          </w:p>
        </w:tc>
        <w:tc>
          <w:tcPr>
            <w:tcW w:type="dxa" w:w="1728"/>
          </w:tcPr>
          <w:p>
            <w:r>
              <w:t>Not assessed</w:t>
            </w:r>
          </w:p>
        </w:tc>
        <w:tc>
          <w:tcPr>
            <w:tcW w:type="dxa" w:w="1728"/>
          </w:tcPr>
          <w:p>
            <w:r>
              <w:t>Moderate: event rate decreased by 18%</w:t>
            </w:r>
          </w:p>
        </w:tc>
        <w:tc>
          <w:tcPr>
            <w:tcW w:type="dxa" w:w="1728"/>
          </w:tcPr>
          <w:p>
            <w:r>
              <w:t>Not assessed</w:t>
            </w:r>
          </w:p>
        </w:tc>
        <w:tc>
          <w:tcPr>
            <w:tcW w:type="dxa" w:w="1728"/>
          </w:tcPr>
          <w:p>
            <w:r>
              <w:t>Serious: event rate decreased by 47%</w:t>
            </w:r>
          </w:p>
        </w:tc>
      </w:tr>
      <w:tr>
        <w:tc>
          <w:tcPr>
            <w:tcW w:type="dxa" w:w="1728"/>
          </w:tcPr>
          <w:p>
            <w:r>
              <w:t>Imprecision</w:t>
            </w:r>
          </w:p>
        </w:tc>
        <w:tc>
          <w:tcPr>
            <w:tcW w:type="dxa" w:w="1728"/>
          </w:tcPr>
          <w:p>
            <w:r>
              <w:t>Serious</w:t>
            </w:r>
          </w:p>
        </w:tc>
        <w:tc>
          <w:tcPr>
            <w:tcW w:type="dxa" w:w="1728"/>
          </w:tcPr>
          <w:p>
            <w:r>
              <w:t>Serious (heterogeneity-driven)</w:t>
            </w:r>
          </w:p>
        </w:tc>
        <w:tc>
          <w:tcPr>
            <w:tcW w:type="dxa" w:w="1728"/>
          </w:tcPr>
          <w:p>
            <w:r>
              <w:t>Serious</w:t>
            </w:r>
          </w:p>
        </w:tc>
        <w:tc>
          <w:tcPr>
            <w:tcW w:type="dxa" w:w="1728"/>
          </w:tcPr>
          <w:p>
            <w:r>
              <w:t>Serious</w:t>
            </w:r>
          </w:p>
        </w:tc>
      </w:tr>
      <w:tr>
        <w:tc>
          <w:tcPr>
            <w:tcW w:type="dxa" w:w="1728"/>
          </w:tcPr>
          <w:p>
            <w:r>
              <w:t>Overall certainty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Very low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"No benefit demonstrated"</w:t>
            </w:r>
          </w:p>
        </w:tc>
        <w:tc>
          <w:tcPr>
            <w:tcW w:type="dxa" w:w="1728"/>
          </w:tcPr>
          <w:p>
            <w:r>
              <w:t>"Inconclusive; conditional recommendation"</w:t>
            </w:r>
          </w:p>
        </w:tc>
        <w:tc>
          <w:tcPr>
            <w:tcW w:type="dxa" w:w="1728"/>
          </w:tcPr>
          <w:p>
            <w:r>
              <w:t>"No benefit demonstrated"</w:t>
            </w:r>
          </w:p>
        </w:tc>
        <w:tc>
          <w:tcPr>
            <w:tcW w:type="dxa" w:w="1728"/>
          </w:tcPr>
          <w:p>
            <w:r>
              <w:t>"Inconclusive; conditional recommendation"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