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2421</w:t>
      </w:r>
    </w:p>
    <w:p>
      <w:r>
        <w:rPr>
          <w:rFonts w:ascii="Times New Roman" w:hAnsi="Times New Roman"/>
          <w:b w:val="0"/>
          <w:i/>
          <w:sz w:val="24"/>
        </w:rPr>
        <w:t>Prepared for submission to Clinical Trials: Journal of the Society for Clinical Trials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Background/Aims</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 We aimed to develop and illustrate KOTHA so that trialists can distinguish structural information loss from residual confounding and improve prospective trial design.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0.53. Bayesian integration (α = 0.3) yielded OR 0.74 (CrI 0.25-1.43), P(OR &lt; 1) = 81% for magnesium, and HR 0.85 (0.55-1.24), P(HR &lt; 1) = 87%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(Supplementary Table S1),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log-OR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published annual mortality rates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(inconsistent or indirect).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1):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≥50% relative shift) are classified as serious indirectness, and ratios below 0.80 or above 1.25 (a ≥25% relative shift) as moderate indirectness. These thresholds correspond to conventional boundaries for clinically important relative effects. The result is a KOTHA-enhanced certainty rating and recommendation that explicitly distinguishes</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pPr>
        <w:jc w:val="center"/>
      </w:pPr>
      <w:r>
        <w:drawing>
          <wp:inline xmlns:a="http://schemas.openxmlformats.org/drawingml/2006/main" xmlns:pic="http://schemas.openxmlformats.org/drawingml/2006/picture">
            <wp:extent cx="5029200" cy="353714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10"/>
                    <a:stretch>
                      <a:fillRect/>
                    </a:stretch>
                  </pic:blipFill>
                  <pic:spPr>
                    <a:xfrm>
                      <a:off x="0" y="0"/>
                      <a:ext cx="5029200" cy="353714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1: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S1 (magnesium in AMI) and Supplementary Table S2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pPr>
        <w:jc w:val="center"/>
      </w:pPr>
      <w:r>
        <w:drawing>
          <wp:inline xmlns:a="http://schemas.openxmlformats.org/drawingml/2006/main" xmlns:pic="http://schemas.openxmlformats.org/drawingml/2006/picture">
            <wp:extent cx="5029200" cy="2061675"/>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1"/>
                    <a:stretch>
                      <a:fillRect/>
                    </a:stretch>
                  </pic:blipFill>
                  <pic:spPr>
                    <a:xfrm>
                      <a:off x="0" y="0"/>
                      <a:ext cx="5029200" cy="2061675"/>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6542"/>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2"/>
                    <a:stretch>
                      <a:fillRect/>
                    </a:stretch>
                  </pic:blipFill>
                  <pic:spPr>
                    <a:xfrm>
                      <a:off x="0" y="0"/>
                      <a:ext cx="5029200" cy="2096542"/>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Forest plots for magnesium and statins are shown in Fig. 4.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which did not cross the conventional two-sided boundary for benefit or harm (</w:t>
      </w:r>
      <m:oMath>
        <m:d>
          <m:dPr>
            <m:begChr m:val="|"/>
            <m:endChr m:val="|"/>
            <m:sepChr m:val=""/>
            <m:grow/>
          </m:dPr>
          <m:e>
            <m:r>
              <m:t>Z</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lower O’Brien-Fleming boundary of -0.27 (Supplementary Fig. S2). This divergence reflects era-dependent treatment-effect heterogeneity driven by the ISIS-4 result.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drawing>
          <wp:inline xmlns:a="http://schemas.openxmlformats.org/drawingml/2006/main" xmlns:pic="http://schemas.openxmlformats.org/drawingml/2006/picture">
            <wp:extent cx="5029200" cy="2644843"/>
            <wp:docPr id="4" name="Picture 4"/>
            <wp:cNvGraphicFramePr>
              <a:graphicFrameLocks noChangeAspect="1"/>
            </wp:cNvGraphicFramePr>
            <a:graphic>
              <a:graphicData uri="http://schemas.openxmlformats.org/drawingml/2006/picture">
                <pic:pic>
                  <pic:nvPicPr>
                    <pic:cNvPr id="0" name="fig4_forest_combined.png"/>
                    <pic:cNvPicPr/>
                  </pic:nvPicPr>
                  <pic:blipFill>
                    <a:blip r:embed="rId13"/>
                    <a:stretch>
                      <a:fillRect/>
                    </a:stretch>
                  </pic:blipFill>
                  <pic:spPr>
                    <a:xfrm>
                      <a:off x="0" y="0"/>
                      <a:ext cx="5029200" cy="2644843"/>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(α = 0.3, 0.5, 1.0 for magnesium; 0.1, 0.3, 0.5 for statins).</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(Supplementary Table S4)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81% probability of benefit (Supplementary Fig. S3A).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(Supplementary Fig. S3B). Even with moderate borrowing from observational evidence, conclusions remained uncertain.</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2 and Supplementary Fig. S4.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2: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of the framework to published aggregate data; individual patient data would strengthen risk-profile stratification and adjustment for confounders, and ecological bias may affect the representativeness assessment. Prospective validation against trials whose results are not yet known would be stronger. 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et al.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et al. Estimating required information size by quantifying diversity in random-effects model meta-analyses. BMC Med. Res. Methodol. 2009;9:86.</w:t>
      </w:r>
    </w:p>
    <w:p>
      <w:r>
        <w:rPr>
          <w:rFonts w:ascii="Times New Roman" w:hAnsi="Times New Roman"/>
          <w:sz w:val="20"/>
        </w:rPr>
        <w:t>8. Brok J, Thorlund K, Gluud C, et al.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et al.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Ibrahim JG, Chen MH. Power prior distributions for regression models. Stat. Sci. 2000;15(1):46-60.</w:t>
      </w:r>
    </w:p>
    <w:p>
      <w:r>
        <w:rPr>
          <w:rFonts w:ascii="Times New Roman" w:hAnsi="Times New Roman"/>
          <w:sz w:val="20"/>
        </w:rPr>
        <w:t>13.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14. Boyd AP, Kittelson JM, Gillen DL. Estimation of treatment effect under non-proportional hazards and conditionally independent censoring. Stat. Med. 2012;31(28):3504-15. doi:10.1002/sim.5440.</w:t>
      </w:r>
    </w:p>
    <w:p>
      <w:r>
        <w:rPr>
          <w:rFonts w:ascii="Times New Roman" w:hAnsi="Times New Roman"/>
          <w:sz w:val="20"/>
        </w:rPr>
        <w:t>15. Sherry AD, Msaouel P, Kupferman GS, et al. Evidence-based prior for estimating the treatment effect of phase III randomized trials in oncology. JCO Precis. Oncol. 2024;8:e2400363. doi:10.1200/PO.24.00363.</w:t>
      </w:r>
    </w:p>
    <w:p>
      <w:r>
        <w:rPr>
          <w:rFonts w:ascii="Times New Roman" w:hAnsi="Times New Roman"/>
          <w:sz w:val="20"/>
        </w:rPr>
        <w:t>16. Foreman-Mackey D, Hogg DW, Lang D, et al. emcee: the MCMC hammer. Publ. Astron. Soc. Pac. 2013;125(925):306-12.</w:t>
      </w:r>
    </w:p>
    <w:p>
      <w:r>
        <w:rPr>
          <w:rFonts w:ascii="Times New Roman" w:hAnsi="Times New Roman"/>
          <w:sz w:val="20"/>
        </w:rPr>
        <w:t>17. Teo KK, Yusuf S, Collins R, et al. Effects of intravenous magnesium in suspected acute myocardial infarction: overview of randomised trials. BMJ. 1991;303(6816):1499-503.</w:t>
      </w:r>
    </w:p>
    <w:p>
      <w:r>
        <w:rPr>
          <w:rFonts w:ascii="Times New Roman" w:hAnsi="Times New Roman"/>
          <w:sz w:val="20"/>
        </w:rPr>
        <w:t>18. Li J, Zhang Q, Zhang M, et al. Intravenous magnesium for acute myocardial infarction. Cochrane Database Syst. Rev. 2007;(2):CD002755.</w:t>
      </w:r>
    </w:p>
    <w:p>
      <w:r>
        <w:rPr>
          <w:rFonts w:ascii="Times New Roman" w:hAnsi="Times New Roman"/>
          <w:sz w:val="20"/>
        </w:rPr>
        <w:t>19. Anker SD, Clark AL, Winkler R, et al. Statin use and survival in patients with chronic heart failure -- results from two observational studies with 5200 patients. Int. J. Cardiol. 2006;112(2):234-42.</w:t>
      </w:r>
    </w:p>
    <w:p>
      <w:r>
        <w:rPr>
          <w:rFonts w:ascii="Times New Roman" w:hAnsi="Times New Roman"/>
          <w:sz w:val="20"/>
        </w:rPr>
        <w:t>20. Mozaffarian D, Nye R, Levy WC. Statin therapy is associated with lower mortality among patients with severe heart failure. Am. J. Cardiol. 2004;93(9):1124-9.</w:t>
      </w:r>
    </w:p>
    <w:p>
      <w:r>
        <w:rPr>
          <w:rFonts w:ascii="Times New Roman" w:hAnsi="Times New Roman"/>
          <w:sz w:val="20"/>
        </w:rPr>
        <w:t>21. Horwich TB, MacLellan WR, Fonarow GC. Statin therapy is associated with improved survival in ischemic and non-ischemic heart failure. J. Am. Coll. Cardiol. 2004;43(4):642-8.</w:t>
      </w:r>
    </w:p>
    <w:p>
      <w:r>
        <w:rPr>
          <w:rFonts w:ascii="Times New Roman" w:hAnsi="Times New Roman"/>
          <w:sz w:val="20"/>
        </w:rPr>
        <w:t>22. Go AS, Lee WY, Yang J, et al. Statin therapy and risks for death and hospitalization in chronic heart failure. JAMA. 2006;296(17):2105-11.</w:t>
      </w:r>
    </w:p>
    <w:p>
      <w:r>
        <w:rPr>
          <w:rFonts w:ascii="Times New Roman" w:hAnsi="Times New Roman"/>
          <w:sz w:val="20"/>
        </w:rPr>
        <w:t>23. Foody JM, Shah R, Galusha D, et al. Statins and mortality among elderly patients hospitalized with heart failure. Circulation. 2006;113(8):1086-92.</w:t>
      </w:r>
    </w:p>
    <w:p>
      <w:r>
        <w:rPr>
          <w:rFonts w:ascii="Times New Roman" w:hAnsi="Times New Roman"/>
          <w:sz w:val="20"/>
        </w:rPr>
        <w:t>24. Kjekshus J, Apetrei E, Barrios V, et al. Rosuvastatin in older patients with systolic heart failure. N. Engl. J. Med. 2007;357(22):2248-61.</w:t>
      </w:r>
    </w:p>
    <w:p>
      <w:r>
        <w:rPr>
          <w:rFonts w:ascii="Times New Roman" w:hAnsi="Times New Roman"/>
          <w:sz w:val="20"/>
        </w:rPr>
        <w:t>25. GISSI-HF Investigators. Effect of rosuvastatin in patients with chronic heart failure (the GISSI-HF trial): a randomised, double-blind, placebo-controlled trial. Lancet. 2008;372(9645):1231-9.</w:t>
      </w:r>
    </w:p>
    <w:p>
      <w:r>
        <w:rPr>
          <w:rFonts w:ascii="Times New Roman" w:hAnsi="Times New Roman"/>
          <w:sz w:val="20"/>
        </w:rPr>
        <w:t>26. DerSimonian R, Laird N. Meta-analysis in clinical trials. Control. Clin. Trials. 1986;7(3):177-88.</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et al.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et al. Combining randomized and non-randomized evidence in network meta-analysis. Stat. Med. 2017;36(8):1210-26.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