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Abbreviation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Definition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ADEMP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Aims, Data-generating mechanisms, Estimands, Methods, Performance measures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AMI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Acute myocardial infarction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Credible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Confidence interval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Grading of Recommendations Assessment, Development and Evaluation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HF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Heart failure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Hazard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KOTHA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Knowledge-driven Observational-Trial Harmonization Approach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MCMC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Markov chain Monte Carlo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Optimal information size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OR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Odds ratio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RCT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Randomized controlled trial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Trial sequential analysis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Module H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Analytical tool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Decision criterion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Information sufficiency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OIS calculation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Total events &lt; OIS: informationally insufficient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inspection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CI spans benefit through null: inconclusive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Representativeness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Module K event rate ratio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&lt; 0.67 or &gt; 1.50: serious; &lt; 0.80 or &gt; 1.25: moderate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TSA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Sequential monitoring boundaries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Boundaries not crossed: interim analysis equivalent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 language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assessment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Standardized templates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Tailored to information sufficiency classification</w:t>
            </w:r>
          </w:p>
        </w:tc>
      </w:tr>
    </w:tbl>
    <w:tbl xmlns:a="http://schemas.openxmlformats.org/drawingml/2006/main" xmlns:pic="http://schemas.openxmlformats.org/drawingml/2006/picture">
      <w:tblPr>
        <w:tblStyle w:val="Table Grid"/>
        <w:tblW w:type="pct" w:w="5000"/>
        <w:tblLook w:firstRow="1" w:lastRow="0" w:firstColumn="0" w:lastColumn="0" w:noHBand="0" w:noVBand="0" w:val="0020"/>
        <w:jc w:val="center"/>
        <w:tblLayout w:type="fixed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GRADE domain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(Mg in AMI)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Standard (Statins HF)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  <w:b/>
              </w:rPr>
              <w:t xml:space="preserve">KOTHA (Statins HF)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Risk of bias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Inconsistency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62%)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 (</w:t>
            </w:r>
            <m:oMath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= 0%)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Indirectness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Low: event rate decreased by 18%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assessed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Serious: event rate decreased by 47%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Imprecision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null)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Not serious (OIS met, CI excludes clinically important benefit)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Overall certainty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High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Low</w:t>
            </w:r>
          </w:p>
        </w:tc>
      </w:tr>
      <w:tr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Recommendation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No benefit demonstrated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  <w:tc>
          <w:tcPr/>
          <w:p>
            <w:pPr>
              <w:pStyle w:val="Normal"/>
              <w:jc w:val="left"/>
              <w:spacing w:line="240" w:lineRule="auto" w:after="0"/>
            </w:pP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“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Inconclusive; conditional recommendation</w:t>
            </w:r>
            <w:r>
              <w:rPr>
                <w:rFonts w:ascii="Times New Roman" w:hAnsi="Times New Roman" w:cs="Times New Roman" w:eastAsia="Times New Roman"/>
                <w:sz w:val="20"/>
                <w:szCs w:val="20"/>
              </w:rPr>
              <w:t xml:space="preserve">”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