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Tables</w:t>
      </w:r>
    </w:p>
    <w:p/>
    <w:p>
      <w:pPr>
        <w:jc w:val="left"/>
      </w:pPr>
      <w:r>
        <w:rPr>
          <w:rFonts w:ascii="Times New Roman" w:hAnsi="Times New Roman"/>
          <w:b/>
          <w:sz w:val="24"/>
        </w:rPr>
        <w:t>Supplementary Table S1: Study-level data for magnesium in 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Year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Era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Control rate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Morton 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5.6%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Rasmussen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11.4%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Smith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Abraham 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Ceremuzynski 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13.0%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Singh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Feldstedt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Schechter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LIMIT-2 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15.7%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ISIS-4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7.2%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sz w:val="24"/>
        </w:rPr>
        <w:t>Supplementary Table S2: Study-level data for statins in heart failure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Events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Mozaffarian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0.62 (0.49--0.78)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1,153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356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Horwich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0.59 (0.44--0.78)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551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189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Go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0.69 (0.63--0.75)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24,598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5,765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Foody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0.82 (0.79--0.85)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54,960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16,573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Anker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0.75 (0.66--0.85)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10,510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2,890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CORONA 2007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0.95 (0.86--1.05)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5,011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728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GISSI-HF 2008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1.00 (0.90--1.12)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4,574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657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-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