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Trial Design</w:t>
      </w:r>
    </w:p>
    <w:p>
      <w:pPr>
        <w:jc w:val="center"/>
      </w:pPr>
      <w:r>
        <w:rPr>
          <w:rFonts w:ascii="Times New Roman" w:hAnsi="Times New Roman"/>
          <w:b/>
          <w:i w:val="0"/>
          <w:sz w:val="28"/>
        </w:rPr>
        <w:t>The KOTHA Framework: Diagnosing Structural Information Loss in Randomized Controlled Trial Meta-Analyses to Inform Trial Design</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2691</w:t>
      </w:r>
    </w:p>
    <w:p>
      <w:r>
        <w:rPr>
          <w:rFonts w:ascii="Times New Roman" w:hAnsi="Times New Roman"/>
          <w:b w:val="0"/>
          <w:i/>
          <w:sz w:val="24"/>
        </w:rPr>
        <w:t>Prepared for submission to Clinical Trials: Journal of the Society for Clinical Trials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Evidence-based medicine ranks RCTs and meta-analyses highest, yet observational-RCT discordance is usually attributed to confounding. We highlight a structural explanation: trial enrollment progressively excludes higher-risk patients, diluting event rates and statistical information. The Knowledge-driven Observational-Trial Harmonization Approach (KOTHA) Framework diagnoses this structural information loss. We aimed to develop and illustrate KOTHA so that trialists can distinguish structural information loss from residual confounding and inform sample size, eligibility, enrichment, and endpoint decisions in prospective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comprises three modules: Module K quantifies risk-profile shifts and power loss, Module T combines RCT and observational evidence with power-prior discounting, and Module H translates outputs into a GRADE-compatible assessment. We applied it to magnesium in acute myocardial infarction and statins in heart failure.</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In the magnesium case, control event rates fell from 8.9% to 7.2%; the pre-ISIS-4 pooled odds ratio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In the statins case, observational hazard ratio (HR) was 0.72 (0.64-0.80) versus RCT HR 0.97 (0.90-1.05), with an event-rate ratio of 0.51. Bayesian integration (alpha = 0.3) yielded OR 0.74 (CrI 0.25-1.43), P(OR &lt; 1) = 80.7% for magnesium and HR 0.85 (0.55-1.24), P(HR &lt; 1) = 86.5% for statins; both probabilities remained below conventional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Module H classified magnesium as inconclusive with serious inconsistency (heterogeneity), and statins as inconclusive with serious indirectness.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randomized controlled trials, meta-analysis, observational studies, trial design, Bayesian evidence synthesis,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Evidence-based medicine places RCTs and their meta-analyses at the apex of the evidence hierarchy because randomization minimizes confounding and provides internally valid estimates of treatment effects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Nevertheless,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vertAlign w:val="superscript"/>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An alternative structural explanation deserves systematic attention. RCT enrollment criteria, consent processes, and site selection progressively restrict the study population </w:t>
      </w:r>
      <w:r>
        <w:rPr>
          <w:rFonts w:ascii="Times New Roman" w:hAnsi="Times New Roman" w:cs="Times New Roman" w:eastAsia="Times New Roman"/>
          <w:sz w:val="24"/>
          <w:szCs w:val="24"/>
          <w:vertAlign w:val="superscript"/>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vertAlign w:val="superscript"/>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vertAlign w:val="superscript"/>
        </w:rPr>
        <w:t xml:space="preserve">8-9</w:t>
      </w:r>
      <w:r>
        <w:rPr>
          <w:rFonts w:ascii="Times New Roman" w:hAnsi="Times New Roman" w:cs="Times New Roman" w:eastAsia="Times New Roman"/>
          <w:sz w:val="24"/>
          <w:szCs w:val="24"/>
        </w:rPr>
        <w:t xml:space="preserve">. However, these tools are underused in guideline development, and neither directly quantifies the information loss resulting from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(Supplementary Table S1),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therefore developed the Knowledge-driven Observational-Trial Harmonization Approach (KOTHA) Framework. It is a three-module system that (1) diagnoses structural information loss through counterfactual power simulation (Module K), (2) integrates discordant evidence through hierarchical Bayesian meta-analysis (Module T), and (3) translates quantitative findings into GRADE-compatible evidence assessment (Module H). This paper describes the framework and illustrates its application to two canonical cases of observational-RCT divergence, with an emphasis on implications for clinical 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drawing>
          <wp:inline xmlns:a="http://schemas.openxmlformats.org/drawingml/2006/main" xmlns:pic="http://schemas.openxmlformats.org/drawingml/2006/picture">
            <wp:extent cx="5029200" cy="353714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10"/>
                    <a:stretch>
                      <a:fillRect/>
                    </a:stretch>
                  </pic:blipFill>
                  <pic:spPr>
                    <a:xfrm>
                      <a:off x="0" y="0"/>
                      <a:ext cx="5029200" cy="353714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vertAlign w:val="superscript"/>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vertAlign w:val="superscript"/>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vertAlign w:val="superscript"/>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vertAlign w:val="superscript"/>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vertAlign w:val="superscript"/>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It includes five assessments (Table 1):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r>
        <w:rPr>
          <w:rFonts w:ascii="Times New Roman" w:hAnsi="Times New Roman"/>
          <w:b/>
          <w:i w:val="0"/>
          <w:sz w:val="24"/>
        </w:rPr>
        <w:t>Table 1: Module H assessment checklist mapped to GRADE domains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980"/>
        <w:gridCol w:w="1980"/>
        <w:gridCol w:w="1980"/>
        <w:gridCol w:w="198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Module H assessment</w:t>
            </w:r>
          </w:p>
        </w:tc>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Analytical tool</w:t>
            </w:r>
          </w:p>
        </w:tc>
        <w:tc>
          <w:tcPr/>
          <w:p>
            <w:pPr>
              <w:pStyle w:val="Normal"/>
              <w:jc w:val="left"/>
              <w:spacing w:line="240" w:lineRule="auto" w:after="0"/>
            </w:pPr>
            <w:r>
              <w:rPr>
                <w:rFonts w:ascii="Times New Roman" w:hAnsi="Times New Roman" w:cs="Times New Roman" w:eastAsia="Times New Roman"/>
                <w:sz w:val="20"/>
                <w:szCs w:val="20"/>
                <w:b/>
              </w:rPr>
              <w:t xml:space="preserve">Decision criterion</w:t>
            </w:r>
          </w:p>
        </w:tc>
      </w:tr>
      <w:tr>
        <w:tc>
          <w:tcPr/>
          <w:p>
            <w:pPr>
              <w:pStyle w:val="Normal"/>
              <w:jc w:val="left"/>
              <w:spacing w:line="240" w:lineRule="auto" w:after="0"/>
            </w:pPr>
            <w:r>
              <w:rPr>
                <w:rFonts w:ascii="Times New Roman" w:hAnsi="Times New Roman" w:cs="Times New Roman" w:eastAsia="Times New Roman"/>
                <w:sz w:val="20"/>
                <w:szCs w:val="20"/>
              </w:rPr>
              <w:t xml:space="preserve">Information sufficiency</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OIS calculation</w:t>
            </w:r>
          </w:p>
        </w:tc>
        <w:tc>
          <w:tcPr/>
          <w:p>
            <w:pPr>
              <w:pStyle w:val="Normal"/>
              <w:jc w:val="left"/>
              <w:spacing w:line="240" w:lineRule="auto" w:after="0"/>
            </w:pPr>
            <w:r>
              <w:rPr>
                <w:rFonts w:ascii="Times New Roman" w:hAnsi="Times New Roman" w:cs="Times New Roman" w:eastAsia="Times New Roman"/>
                <w:sz w:val="20"/>
                <w:szCs w:val="20"/>
              </w:rPr>
              <w:t xml:space="preserve">Total events &lt; OIS: informationally insufficient</w:t>
            </w:r>
          </w:p>
        </w:tc>
      </w:tr>
      <w:tr>
        <w:tc>
          <w:tcPr/>
          <w:p>
            <w:pPr>
              <w:pStyle w:val="Normal"/>
              <w:jc w:val="left"/>
              <w:spacing w:line="240" w:lineRule="auto" w:after="0"/>
            </w:pPr>
            <w:r>
              <w:rPr>
                <w:rFonts w:ascii="Times New Roman" w:hAnsi="Times New Roman" w:cs="Times New Roman" w:eastAsia="Times New Roman"/>
                <w:sz w:val="20"/>
                <w:szCs w:val="20"/>
              </w:rPr>
              <w:t xml:space="preserve">CI assessment</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CI inspection</w:t>
            </w:r>
          </w:p>
        </w:tc>
        <w:tc>
          <w:tcPr/>
          <w:p>
            <w:pPr>
              <w:pStyle w:val="Normal"/>
              <w:jc w:val="left"/>
              <w:spacing w:line="240" w:lineRule="auto" w:after="0"/>
            </w:pPr>
            <w:r>
              <w:rPr>
                <w:rFonts w:ascii="Times New Roman" w:hAnsi="Times New Roman" w:cs="Times New Roman" w:eastAsia="Times New Roman"/>
                <w:sz w:val="20"/>
                <w:szCs w:val="20"/>
              </w:rPr>
              <w:t xml:space="preserve">CI spans benefit through null: inconclusive</w:t>
            </w:r>
          </w:p>
        </w:tc>
      </w:tr>
      <w:tr>
        <w:tc>
          <w:tcPr/>
          <w:p>
            <w:pPr>
              <w:pStyle w:val="Normal"/>
              <w:jc w:val="left"/>
              <w:spacing w:line="240" w:lineRule="auto" w:after="0"/>
            </w:pPr>
            <w:r>
              <w:rPr>
                <w:rFonts w:ascii="Times New Roman" w:hAnsi="Times New Roman" w:cs="Times New Roman" w:eastAsia="Times New Roman"/>
                <w:sz w:val="20"/>
                <w:szCs w:val="20"/>
              </w:rPr>
              <w:t xml:space="preserve">Representativeness</w:t>
            </w:r>
          </w:p>
        </w:tc>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Module K event rate ratio</w:t>
            </w:r>
          </w:p>
        </w:tc>
        <w:tc>
          <w:tcPr/>
          <w:p>
            <w:pPr>
              <w:pStyle w:val="Normal"/>
              <w:jc w:val="left"/>
              <w:spacing w:line="240" w:lineRule="auto" w:after="0"/>
            </w:pPr>
            <w:r>
              <w:rPr>
                <w:rFonts w:ascii="Times New Roman" w:hAnsi="Times New Roman" w:cs="Times New Roman" w:eastAsia="Times New Roman"/>
                <w:sz w:val="20"/>
                <w:szCs w:val="20"/>
              </w:rPr>
              <w:t xml:space="preserve">&lt; 0.67 or &gt; 1.50: serious; &lt; 0.80 or &gt; 1.25: moderate</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Sequential monitoring boundaries</w:t>
            </w:r>
          </w:p>
        </w:tc>
        <w:tc>
          <w:tcPr/>
          <w:p>
            <w:pPr>
              <w:pStyle w:val="Normal"/>
              <w:jc w:val="left"/>
              <w:spacing w:line="240" w:lineRule="auto" w:after="0"/>
            </w:pPr>
            <w:r>
              <w:rPr>
                <w:rFonts w:ascii="Times New Roman" w:hAnsi="Times New Roman" w:cs="Times New Roman" w:eastAsia="Times New Roman"/>
                <w:sz w:val="20"/>
                <w:szCs w:val="20"/>
              </w:rPr>
              <w:t xml:space="preserve">Boundaries not crossed: interim analysis equivalent</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 language</w:t>
            </w:r>
          </w:p>
        </w:tc>
        <w:tc>
          <w:tcPr/>
          <w:p>
            <w:pPr>
              <w:pStyle w:val="Normal"/>
              <w:jc w:val="left"/>
              <w:spacing w:line="240" w:lineRule="auto" w:after="0"/>
            </w:pPr>
            <w:r>
              <w:rPr>
                <w:rFonts w:ascii="Times New Roman" w:hAnsi="Times New Roman" w:cs="Times New Roman" w:eastAsia="Times New Roman"/>
                <w:sz w:val="20"/>
                <w:szCs w:val="20"/>
              </w:rPr>
              <w:t xml:space="preserve">Overall assessment</w:t>
            </w:r>
          </w:p>
        </w:tc>
        <w:tc>
          <w:tcPr/>
          <w:p>
            <w:pPr>
              <w:pStyle w:val="Normal"/>
              <w:jc w:val="left"/>
              <w:spacing w:line="240" w:lineRule="auto" w:after="0"/>
            </w:pPr>
            <w:r>
              <w:rPr>
                <w:rFonts w:ascii="Times New Roman" w:hAnsi="Times New Roman" w:cs="Times New Roman" w:eastAsia="Times New Roman"/>
                <w:sz w:val="20"/>
                <w:szCs w:val="20"/>
              </w:rPr>
              <w:t xml:space="preserve">Standardized templates</w:t>
            </w:r>
          </w:p>
        </w:tc>
        <w:tc>
          <w:tcPr/>
          <w:p>
            <w:pPr>
              <w:pStyle w:val="Normal"/>
              <w:jc w:val="left"/>
              <w:spacing w:line="240" w:lineRule="auto" w:after="0"/>
            </w:pPr>
            <w:r>
              <w:rPr>
                <w:rFonts w:ascii="Times New Roman" w:hAnsi="Times New Roman" w:cs="Times New Roman" w:eastAsia="Times New Roman"/>
                <w:sz w:val="20"/>
                <w:szCs w:val="20"/>
              </w:rPr>
              <w:t xml:space="preserve">Tailored to information sufficiency classification</w:t>
            </w:r>
          </w:p>
        </w:tc>
      </w:tr>
    </w:tbl>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vertAlign w:val="superscript"/>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vertAlign w:val="superscript"/>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vertAlign w:val="superscript"/>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vertAlign w:val="superscript"/>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S2 (magnesium in AMI) and Supplementary Table S3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drawing>
          <wp:inline xmlns:a="http://schemas.openxmlformats.org/drawingml/2006/main" xmlns:pic="http://schemas.openxmlformats.org/drawingml/2006/picture">
            <wp:extent cx="5029200" cy="2061675"/>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1"/>
                    <a:stretch>
                      <a:fillRect/>
                    </a:stretch>
                  </pic:blipFill>
                  <pic:spPr>
                    <a:xfrm>
                      <a:off x="0" y="0"/>
                      <a:ext cx="5029200" cy="2061675"/>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drawing>
          <wp:inline xmlns:a="http://schemas.openxmlformats.org/drawingml/2006/main" xmlns:pic="http://schemas.openxmlformats.org/drawingml/2006/picture">
            <wp:extent cx="5029200" cy="2096542"/>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2"/>
                    <a:stretch>
                      <a:fillRect/>
                    </a:stretch>
                  </pic:blipFill>
                  <pic:spPr>
                    <a:xfrm>
                      <a:off x="0" y="0"/>
                      <a:ext cx="5029200" cy="2096542"/>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Forest plots for magnesium and statins are shown in Fig. 4.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TSA under a fixed-effect accumulation produced a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of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a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(which, because the cumulative information exceeded the optimal information size, equals the conventional two-sided boundary) (Supplementary Fig. S2).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drawing>
          <wp:inline xmlns:a="http://schemas.openxmlformats.org/drawingml/2006/main" xmlns:pic="http://schemas.openxmlformats.org/drawingml/2006/picture">
            <wp:extent cx="5029200" cy="2598661"/>
            <wp:docPr id="4" name="Picture 4"/>
            <wp:cNvGraphicFramePr>
              <a:graphicFrameLocks noChangeAspect="1"/>
            </wp:cNvGraphicFramePr>
            <a:graphic>
              <a:graphicData uri="http://schemas.openxmlformats.org/drawingml/2006/picture">
                <pic:pic>
                  <pic:nvPicPr>
                    <pic:cNvPr id="0" name="fig4_forest_combined.png"/>
                    <pic:cNvPicPr/>
                  </pic:nvPicPr>
                  <pic:blipFill>
                    <a:blip r:embed="rId13"/>
                    <a:stretch>
                      <a:fillRect/>
                    </a:stretch>
                  </pic:blipFill>
                  <pic:spPr>
                    <a:xfrm>
                      <a:off x="0" y="0"/>
                      <a:ext cx="5029200" cy="2598661"/>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(Supplementary Table S4)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(Supplementary Fig. S3A).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(Supplementary Fig. S3B). Even with moderate borrowing from observational evidence, conclusions remained uncertain.</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Table 2 and Supplementary Fig. S4.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r>
        <w:rPr>
          <w:rFonts w:ascii="Times New Roman" w:hAnsi="Times New Roman"/>
          <w:b/>
          <w:i w:val="0"/>
          <w:sz w:val="24"/>
        </w:rPr>
        <w:t>Table 2: Module H assessment --- Standard GRADE vs. KOTHA-enhanced</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Standard (Mg in AMI)</w:t>
            </w:r>
          </w:p>
        </w:tc>
        <w:tc>
          <w:tcPr/>
          <w:p>
            <w:pPr>
              <w:pStyle w:val="Normal"/>
              <w:jc w:val="left"/>
              <w:spacing w:line="240" w:lineRule="auto" w:after="0"/>
            </w:pPr>
            <w:r>
              <w:rPr>
                <w:rFonts w:ascii="Times New Roman" w:hAnsi="Times New Roman" w:cs="Times New Roman" w:eastAsia="Times New Roman"/>
                <w:sz w:val="20"/>
                <w:szCs w:val="20"/>
                <w:b/>
              </w:rPr>
              <w:t xml:space="preserve">KOTHA (Mg in AMI)</w:t>
            </w:r>
          </w:p>
        </w:tc>
        <w:tc>
          <w:tcPr/>
          <w:p>
            <w:pPr>
              <w:pStyle w:val="Normal"/>
              <w:jc w:val="left"/>
              <w:spacing w:line="240" w:lineRule="auto" w:after="0"/>
            </w:pPr>
            <w:r>
              <w:rPr>
                <w:rFonts w:ascii="Times New Roman" w:hAnsi="Times New Roman" w:cs="Times New Roman" w:eastAsia="Times New Roman"/>
                <w:sz w:val="20"/>
                <w:szCs w:val="20"/>
                <w:b/>
              </w:rPr>
              <w:t xml:space="preserve">Standard (Statins HF)</w:t>
            </w:r>
          </w:p>
        </w:tc>
        <w:tc>
          <w:tcPr/>
          <w:p>
            <w:pPr>
              <w:pStyle w:val="Normal"/>
              <w:jc w:val="left"/>
              <w:spacing w:line="240" w:lineRule="auto" w:after="0"/>
            </w:pPr>
            <w:r>
              <w:rPr>
                <w:rFonts w:ascii="Times New Roman" w:hAnsi="Times New Roman" w:cs="Times New Roman" w:eastAsia="Times New Roman"/>
                <w:sz w:val="20"/>
                <w:szCs w:val="20"/>
                <w:b/>
              </w:rPr>
              <w:t xml:space="preserve">KOTHA (Statins HF)</w:t>
            </w:r>
          </w:p>
        </w:tc>
      </w:tr>
      <w:tr>
        <w:tc>
          <w:tcPr/>
          <w:p>
            <w:pPr>
              <w:pStyle w:val="Normal"/>
              <w:jc w:val="left"/>
              <w:spacing w:line="240" w:lineRule="auto" w:after="0"/>
            </w:pPr>
            <w:r>
              <w:rPr>
                <w:rFonts w:ascii="Times New Roman" w:hAnsi="Times New Roman" w:cs="Times New Roman" w:eastAsia="Times New Roman"/>
                <w:sz w:val="20"/>
                <w:szCs w:val="20"/>
              </w:rPr>
              <w:t xml:space="preserve">Risk of bias</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Inconsistency</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r>
      <w:tr>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Low: event rate decreased by 18%</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Serious: event rate decreased by 49%</w:t>
            </w:r>
          </w:p>
        </w:tc>
      </w:tr>
      <w:tr>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Not serious (OIS met)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null)</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r>
      <w:tr>
        <w:tc>
          <w:tcPr/>
          <w:p>
            <w:pPr>
              <w:pStyle w:val="Normal"/>
              <w:jc w:val="left"/>
              <w:spacing w:line="240" w:lineRule="auto" w:after="0"/>
            </w:pPr>
            <w:r>
              <w:rPr>
                <w:rFonts w:ascii="Times New Roman" w:hAnsi="Times New Roman" w:cs="Times New Roman" w:eastAsia="Times New Roman"/>
                <w:sz w:val="20"/>
                <w:szCs w:val="20"/>
              </w:rPr>
              <w:t xml:space="preserve">Overall certainty</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High</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r>
    </w:tbl>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 18% temporal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demonstrated that even modest borrowing from observational evidence shifted posterior probabilities of benefit substantially, but uncertainty remained. Module H classified magnesium as inconclusive with serious inconsistency (heterogeneity), and statins as inconclusive with serious indirectness, rather than "evidence of no effect."</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In this way, KOTHA moves the design conversation from "what sample size do we need under the planned effect?" to "what sample size do we need under the event rate we will actually observe in the enrolled population?"</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vertAlign w:val="superscript"/>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vertAlign w:val="superscript"/>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and is illustrated with real, well-documented cases rather than synthetic examples.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 By translating these diagnostics into prespecified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