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2691</w:t>
      </w:r>
    </w:p>
    <w:p>
      <w:r>
        <w:rPr>
          <w:rFonts w:ascii="Times New Roman" w:hAnsi="Times New Roman"/>
          <w:b w:val="0"/>
          <w:i/>
          <w:sz w:val="24"/>
        </w:rPr>
        <w:t>Prepared for submission to Clinical Trials: Journal of the Society for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inform sample size, eligibility, enrichment, and endpoint decisions in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0.51. Bayesian integration (alpha = 0.3) yielded OR 0.74 (CrI 0.25-1.43), P(OR &lt; 1) = 80.7% for magnesium and HR 0.85 (0.55-1.24), P(HR &lt; 1) = 86.5% for statins; both probabilities remained below conventional decision thresholds, leaving conclusions uncertain.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 "evidence of no effect" from "no evidence of effect".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ADEMP</w:t>
      </w:r>
      <w:r>
        <w:rPr>
          <w:rFonts w:ascii="Times New Roman" w:hAnsi="Times New Roman" w:cs="Times New Roman" w:eastAsia="Times New Roman"/>
          <w:sz w:val="24"/>
          <w:szCs w:val="24"/>
        </w:rPr>
        <w:t xml:space="preserve">: Aims, Data-generating mechanisms, Estimands, Methods, Performance measures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AMI</w:t>
      </w:r>
      <w:r>
        <w:rPr>
          <w:rFonts w:ascii="Times New Roman" w:hAnsi="Times New Roman" w:cs="Times New Roman" w:eastAsia="Times New Roman"/>
          <w:sz w:val="24"/>
          <w:szCs w:val="24"/>
        </w:rPr>
        <w:t xml:space="preserve">: Acute myocardial infarction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CrI</w:t>
      </w:r>
      <w:r>
        <w:rPr>
          <w:rFonts w:ascii="Times New Roman" w:hAnsi="Times New Roman" w:cs="Times New Roman" w:eastAsia="Times New Roman"/>
          <w:sz w:val="24"/>
          <w:szCs w:val="24"/>
        </w:rPr>
        <w:t xml:space="preserve">: Credible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CI</w:t>
      </w:r>
      <w:r>
        <w:rPr>
          <w:rFonts w:ascii="Times New Roman" w:hAnsi="Times New Roman" w:cs="Times New Roman" w:eastAsia="Times New Roman"/>
          <w:sz w:val="24"/>
          <w:szCs w:val="24"/>
        </w:rPr>
        <w:t xml:space="preserve">: Confidence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GRADE</w:t>
      </w:r>
      <w:r>
        <w:rPr>
          <w:rFonts w:ascii="Times New Roman" w:hAnsi="Times New Roman" w:cs="Times New Roman" w:eastAsia="Times New Roman"/>
          <w:sz w:val="24"/>
          <w:szCs w:val="24"/>
        </w:rPr>
        <w:t xml:space="preserve">: Grading of Recommendations Assessment, Development and Evaluation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HF</w:t>
      </w:r>
      <w:r>
        <w:rPr>
          <w:rFonts w:ascii="Times New Roman" w:hAnsi="Times New Roman" w:cs="Times New Roman" w:eastAsia="Times New Roman"/>
          <w:sz w:val="24"/>
          <w:szCs w:val="24"/>
        </w:rPr>
        <w:t xml:space="preserve">: Heart failure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HR</w:t>
      </w:r>
      <w:r>
        <w:rPr>
          <w:rFonts w:ascii="Times New Roman" w:hAnsi="Times New Roman" w:cs="Times New Roman" w:eastAsia="Times New Roman"/>
          <w:sz w:val="24"/>
          <w:szCs w:val="24"/>
        </w:rPr>
        <w:t xml:space="preserve">: Hazard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KOTHA</w:t>
      </w:r>
      <w:r>
        <w:rPr>
          <w:rFonts w:ascii="Times New Roman" w:hAnsi="Times New Roman" w:cs="Times New Roman" w:eastAsia="Times New Roman"/>
          <w:sz w:val="24"/>
          <w:szCs w:val="24"/>
        </w:rPr>
        <w:t xml:space="preserve">: Knowledge-driven Observational-Trial Harmonization Approach</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MCMC</w:t>
      </w:r>
      <w:r>
        <w:rPr>
          <w:rFonts w:ascii="Times New Roman" w:hAnsi="Times New Roman" w:cs="Times New Roman" w:eastAsia="Times New Roman"/>
          <w:sz w:val="24"/>
          <w:szCs w:val="24"/>
        </w:rPr>
        <w:t xml:space="preserve">: Markov chain Monte Carlo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OIS</w:t>
      </w:r>
      <w:r>
        <w:rPr>
          <w:rFonts w:ascii="Times New Roman" w:hAnsi="Times New Roman" w:cs="Times New Roman" w:eastAsia="Times New Roman"/>
          <w:sz w:val="24"/>
          <w:szCs w:val="24"/>
        </w:rPr>
        <w:t xml:space="preserve">: Optimal information size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Odds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RCT</w:t>
      </w:r>
      <w:r>
        <w:rPr>
          <w:rFonts w:ascii="Times New Roman" w:hAnsi="Times New Roman" w:cs="Times New Roman" w:eastAsia="Times New Roman"/>
          <w:sz w:val="24"/>
          <w:szCs w:val="24"/>
        </w:rPr>
        <w:t xml:space="preserve">: Randomized controlled trial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TSA</w:t>
      </w:r>
      <w:r>
        <w:rPr>
          <w:rFonts w:ascii="Times New Roman" w:hAnsi="Times New Roman" w:cs="Times New Roman" w:eastAsia="Times New Roman"/>
          <w:sz w:val="24"/>
          <w:szCs w:val="24"/>
        </w:rPr>
        <w:t xml:space="preserve">: Trial sequential analysis</w:t>
      </w:r>
    </w:p>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 "no statistically significant difference" is interpreted as "no effect".</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call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However, these tools are underused in guideline development, and neither directly quantifies the information loss resulting from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Several trial design strategies can mitigate event dilution (Supplementary Table S1), including stratified randomization, prognostic enrichment, event-driven designs, adaptive sample-size re-estimation, and pragmatic or registry-based trials. Existing approaches address these issues separately; to our knowledge, no widely adopted framework tightly links prospective power assessment, retrospective diagnostic evaluation, and structured evidence interpretation in a single reproducible workflow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jc w:val="center"/>
      </w:pPr>
      <w:r>
        <w:rPr>
          <w:rFonts w:ascii="Times New Roman" w:hAnsi="Times New Roman"/>
          <w:b/>
          <w:sz w:val="20"/>
        </w:rPr>
        <w:t>[Insert Figure 1]</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aims (quantify information loss from enrollment-driven risk-profile shifts), data-generating process (published aggregate event counts and sample sizes), estimands (counterfactual power under S1-S3), methods (Schoenfeld approximation with proportional-hazards data handled via the log-HR/log-OR equivalence under rare events), and performance measures (power across a grid of true effects and required sample size).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 relative effect (log-OR or log-HR under proportional hazards)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 or HR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crude control event proportions derived from the aggregate data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We used weakly informative priors</w:t>
      </w:r>
      <w:r>
        <w:rPr>
          <w:rFonts w:ascii="Times New Roman" w:hAnsi="Times New Roman" w:cs="Times New Roman" w:eastAsia="Times New Roman"/>
          <w:sz w:val="24"/>
          <w:szCs w:val="24"/>
        </w:rPr>
        <w:t xml:space="preserve"> </w:t>
      </w:r>
      <m:oMath>
        <m:r>
          <m:t>μ</m:t>
        </m:r>
        <m:r>
          <m:rPr>
            <m:sty m:val="p"/>
          </m:rPr>
          <m:t>∼</m:t>
        </m:r>
        <m:r>
          <m:t>N</m:t>
        </m:r>
        <m:d>
          <m:dPr>
            <m:begChr m:val="("/>
            <m:endChr m:val=")"/>
            <m:sepChr m:val=""/>
            <m:grow/>
          </m:dPr>
          <m:e>
            <m:r>
              <m:t>0</m:t>
            </m:r>
            <m:r>
              <m:rPr>
                <m:sty m:val="p"/>
              </m:rPr>
              <m:t>,</m:t>
            </m:r>
            <m:sSup>
              <m:e>
                <m:r>
                  <m:t>10</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population mean log effect and</w:t>
      </w:r>
      <w:r>
        <w:rPr>
          <w:rFonts w:ascii="Times New Roman" w:hAnsi="Times New Roman" w:cs="Times New Roman" w:eastAsia="Times New Roman"/>
          <w:sz w:val="24"/>
          <w:szCs w:val="24"/>
        </w:rPr>
        <w:t xml:space="preserve"> </w:t>
      </w:r>
      <m:oMath>
        <m:r>
          <m:t>τ</m:t>
        </m:r>
        <m:r>
          <m:rPr>
            <m:sty m:val="p"/>
          </m:rPr>
          <m:t>∼</m:t>
        </m:r>
        <m:r>
          <m:rPr>
            <m:nor/>
            <m:sty m:val="p"/>
          </m:rPr>
          <m:t>Half-Cauchy</m:t>
        </m:r>
        <m:d>
          <m:dPr>
            <m:begChr m:val="("/>
            <m:endChr m:val=")"/>
            <m:sepChr m:val=""/>
            <m:grow/>
          </m:dPr>
          <m:e>
            <m:r>
              <m:t>0</m:t>
            </m:r>
            <m:r>
              <m:rPr>
                <m:sty m:val="p"/>
              </m:rPr>
              <m:t>,</m:t>
            </m:r>
            <m:r>
              <m:t>0.5</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between-study standard deviation, with</w:t>
      </w:r>
      <w:r>
        <w:rPr>
          <w:rFonts w:ascii="Times New Roman" w:hAnsi="Times New Roman" w:cs="Times New Roman" w:eastAsia="Times New Roman"/>
          <w:sz w:val="24"/>
          <w:szCs w:val="24"/>
        </w:rPr>
        <w:t xml:space="preserve"> </w:t>
      </w:r>
      <m:oMath>
        <m:r>
          <m:t>τ</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bounded between</w:t>
      </w:r>
      <w:r>
        <w:rPr>
          <w:rFonts w:ascii="Times New Roman" w:hAnsi="Times New Roman" w:cs="Times New Roman" w:eastAsia="Times New Roman"/>
          <w:sz w:val="24"/>
          <w:szCs w:val="24"/>
        </w:rPr>
        <w:t xml:space="preserve"> </w:t>
      </w:r>
      <m:oMath>
        <m:sSup>
          <m:e>
            <m:r>
              <m:t>10</m:t>
            </m:r>
          </m:e>
          <m:sup>
            <m:r>
              <m:rPr>
                <m:sty m:val="p"/>
              </m:rPr>
              <m:t>−</m:t>
            </m:r>
            <m:r>
              <m:t>9</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r>
          <m:t>100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for numerical stability.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1):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relative shift of 50% or more) are classified as serious indirectness, and ratios below 0.80 or above 1.25 (a relative shift of 25% or more) as moderate indirectness. These thresholds correspond to conventional boundaries for clinically important relative effects. The result is a KOTHA-enhanced certainty rating and recommendation that explicitly distinguishes "evidence of effect," "evidence of no effect," and "no evidence of effect (inconsistent or indirect).</w:t>
      </w:r>
    </w:p>
    <w:p>
      <w:r>
        <w:rPr>
          <w:rFonts w:ascii="Times New Roman" w:hAnsi="Times New Roman"/>
          <w:b/>
          <w:i w:val="0"/>
          <w:sz w:val="24"/>
        </w:rPr>
        <w:t>Table 1: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S2 (magnesium in AMI) and Supplementary Table S3 (statins in HF). In the magnesium case, control-group mortality fell from a pre-thrombolysis weighted mean of 8.9% to 7.2% in ISIS-4, an event rate ratio of 0.82 (Fig. 2). In the statins case, the RCT-to-observational event rate ratio was 0.51, indicating that the RCT populations had roughly half the mortality event rate of the observational cohorts.</w:t>
      </w:r>
    </w:p>
    <w:p>
      <w:pPr>
        <w:jc w:val="center"/>
      </w:pPr>
      <w:r>
        <w:rPr>
          <w:rFonts w:ascii="Times New Roman" w:hAnsi="Times New Roman"/>
          <w:b/>
          <w:sz w:val="20"/>
        </w:rPr>
        <w:t>[Insert Figure 2]</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100.0% under the RCT event rate; for a more modest effect (HR = 0.85), power fell from 98.4% to 83.2%---a 15 percentage-point reduction consistent with event dilution (Fig. 3B).</w:t>
      </w:r>
    </w:p>
    <w:p>
      <w:pPr>
        <w:jc w:val="center"/>
      </w:pPr>
      <w:r>
        <w:rPr>
          <w:rFonts w:ascii="Times New Roman" w:hAnsi="Times New Roman"/>
          <w:b/>
          <w:sz w:val="20"/>
        </w:rPr>
        <w:t>[Insert Figure 3]</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Forest plots for magnesium and statins are shown in Fig. 4.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-1.96 (which, because the cumulative information exceeded the optimal information size, equals the conventional two-sided boundary) (Supplementary Fig. S2). This divergence is consistent with era-dependent treatment-effect heterogeneity, with the ISIS-4 result contributing substantially to that heterogeneity.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rPr>
          <w:rFonts w:ascii="Times New Roman" w:hAnsi="Times New Roman"/>
          <w:b/>
          <w:sz w:val="20"/>
        </w:rPr>
        <w:t>[Insert Figure 4]</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(Supplementary Table S4)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80.7% probability of benefit (Supplementary Fig. S3A).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(Supplementary Fig. S3B). Even with moderate borrowing from observational evidence, conclusions remained uncertain.</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2 and Supplementary Fig. S4.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0.51;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 "no benefit demonstrated," whereas KOTHA explicitly labels the evidence as informationally insufficient.</w:t>
      </w:r>
    </w:p>
    <w:p>
      <w:r>
        <w:rPr>
          <w:rFonts w:ascii="Times New Roman" w:hAnsi="Times New Roman"/>
          <w:b/>
          <w:i w:val="0"/>
          <w:sz w:val="24"/>
        </w:rPr>
        <w:t>Table 2: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49%</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r>
    </w:tbl>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more consistent with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with underpowering alone. In the statins case, Module K showed that RCT populations had roughly half the event rate of observational cohorts, and that power for a modest effect (HR = 0.85) dropped from 98% to 83%.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 "evidence of no effect."</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 "what sample size do we need under the planned effect?" to "what sample size do we need under the event rate we will actually observe in the enrolled population?"</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cases are retrospective applications of the framework to published aggregate data; individual patient data would strengthen risk-profile stratification and adjustment for confounders, and ecological bias may affect the representativeness assessment.</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observational and RCT crude event proportions are aggregate study-level values, so the comparison is ecological and may not reflect within-individual risk differences.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hazard-ratio-to-odds-ratio approximation and the use of a crude event proportion (rather than an event rate per person-time) mean Module K estimates relative power loss across enrollment scenarios, not a definitive sample size for a specific follow-up.</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S3 enrichment target is set at the midpoint between the observational and RCT crude proportions as an illustration; other thresholds would yield different power curves.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spans the pre-thrombolysis and thrombolysis eras, so temporal changes in standard care, case mix, and outcome ascertainment create treatment-era confounding that cannot be fully controlled with aggregate data.</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Prospective validation against trials whose results are not yet known would be stronger.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involves genuine treatment-effect heterogeneity across thrombolysis eras, which Module K identifies but cannot fully explain.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diagnoses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 By translating these diagnostics into prespecified sample size, eligibility, enrichment, and endpoint decisions, KOTHA offers a reproducible design aid for future clinical trials.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 336(7650): 924-6.</w:t>
      </w:r>
    </w:p>
    <w:p>
      <w:r>
        <w:rPr>
          <w:rFonts w:ascii="Times New Roman" w:hAnsi="Times New Roman"/>
          <w:sz w:val="20"/>
        </w:rPr>
        <w:t>2. Concato J, Shah N and Horwitz RI. Randomized, controlled trials, observational studies, and the hierarchy of research designs. N Engl J Med 2000; 342(25): 1887-92.</w:t>
      </w:r>
    </w:p>
    <w:p>
      <w:r>
        <w:rPr>
          <w:rFonts w:ascii="Times New Roman" w:hAnsi="Times New Roman"/>
          <w:sz w:val="20"/>
        </w:rPr>
        <w:t>3. Anglemyer A, Horvath HT and Bero L. Healthcare outcomes assessed with observational study designs compared with those assessed in randomized trials. Cochrane Database Syst Rev 2014; (4): 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 16: 495.</w:t>
      </w:r>
    </w:p>
    <w:p>
      <w:r>
        <w:rPr>
          <w:rFonts w:ascii="Times New Roman" w:hAnsi="Times New Roman"/>
          <w:sz w:val="20"/>
        </w:rPr>
        <w:t>5. Rothwell PM. External validity of randomised controlled trials: "to whom do the results of this trial apply?" Lancet 2005; 365(9453): 82-93.</w:t>
      </w:r>
    </w:p>
    <w:p>
      <w:r>
        <w:rPr>
          <w:rFonts w:ascii="Times New Roman" w:hAnsi="Times New Roman"/>
          <w:sz w:val="20"/>
        </w:rPr>
        <w:t>6. Pogue JM and Yusuf S. Cumulating evidence from randomized trials: utilizing sequential monitoring boundaries for cumulative meta-analysis. Control Clin Trials 1997; 18(6): 580-93.</w:t>
      </w:r>
    </w:p>
    <w:p>
      <w:r>
        <w:rPr>
          <w:rFonts w:ascii="Times New Roman" w:hAnsi="Times New Roman"/>
          <w:sz w:val="20"/>
        </w:rPr>
        <w:t>7. Wetterslev J, Thorlund K, Brok J, et al. Estimating required information size by quantifying diversity in random-effects model meta-analyses. BMC Med Res Methodol 2009; 9: 86.</w:t>
      </w:r>
    </w:p>
    <w:p>
      <w:r>
        <w:rPr>
          <w:rFonts w:ascii="Times New Roman" w:hAnsi="Times New Roman"/>
          <w:sz w:val="20"/>
        </w:rPr>
        <w:t>8. Brok J, Thorlund K, Gluud C, et al. Trial sequential analysis reveals insufficient information size and potentially false positive results in many meta-analyses. J Clin Epidemiol 2008; 61(8): 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and Crowther MJ. Using simulation studies to evaluate statistical methods. Stat Med 2019; 38(11): 2074-102.</w:t>
      </w:r>
    </w:p>
    <w:p>
      <w:r>
        <w:rPr>
          <w:rFonts w:ascii="Times New Roman" w:hAnsi="Times New Roman"/>
          <w:sz w:val="20"/>
        </w:rPr>
        <w:t>11. Schoenfeld DA. Sample-size formula for the proportional-hazards regression model. Biometrics 1983; 39(2): 499-503.</w:t>
      </w:r>
    </w:p>
    <w:p>
      <w:r>
        <w:rPr>
          <w:rFonts w:ascii="Times New Roman" w:hAnsi="Times New Roman"/>
          <w:sz w:val="20"/>
        </w:rPr>
        <w:t>12. Ibrahim JG and Chen MH. Power prior distributions for regression models. Stat Sci 2000; 15(1): 46-60.</w:t>
      </w:r>
    </w:p>
    <w:p>
      <w:r>
        <w:rPr>
          <w:rFonts w:ascii="Times New Roman" w:hAnsi="Times New Roman"/>
          <w:sz w:val="20"/>
        </w:rPr>
        <w:t>13. McCaw ZR, Yin G and Wei LJ. Using the restricted mean survival time difference as an alternative to the hazard ratio for analyzing clinical cardiovascular studies. Circulation 2019; 140(17): 1366-8. doi:10.1161/CIRCULATIONAHA.119.040680.</w:t>
      </w:r>
    </w:p>
    <w:p>
      <w:r>
        <w:rPr>
          <w:rFonts w:ascii="Times New Roman" w:hAnsi="Times New Roman"/>
          <w:sz w:val="20"/>
        </w:rPr>
        <w:t>14. Boyd AP, Kittelson JM and Gillen DL. Estimation of treatment effect under non-proportional hazards and conditionally independent censoring. Stat Med 2012; 31(28): 3504-15. doi:10.1002/sim.5440.</w:t>
      </w:r>
    </w:p>
    <w:p>
      <w:r>
        <w:rPr>
          <w:rFonts w:ascii="Times New Roman" w:hAnsi="Times New Roman"/>
          <w:sz w:val="20"/>
        </w:rPr>
        <w:t>15. Sherry AD, Msaouel P, Kupferman GS, et al. Evidence-based prior for estimating the treatment effect of phase III randomized trials in oncology. JCO Precis Oncol 2024; 8: e2400363. doi:10.1200/PO.24.00363.</w:t>
      </w:r>
    </w:p>
    <w:p>
      <w:r>
        <w:rPr>
          <w:rFonts w:ascii="Times New Roman" w:hAnsi="Times New Roman"/>
          <w:sz w:val="20"/>
        </w:rPr>
        <w:t>16. Foreman-Mackey D, Hogg DW, Lang D, et al. emcee: the MCMC hammer. Publ Astron Soc Pac 2013; 125(925): 306-12.</w:t>
      </w:r>
    </w:p>
    <w:p>
      <w:r>
        <w:rPr>
          <w:rFonts w:ascii="Times New Roman" w:hAnsi="Times New Roman"/>
          <w:sz w:val="20"/>
        </w:rPr>
        <w:t>17. Teo KK, Yusuf S, Collins R, et al. Effects of intravenous magnesium in suspected acute myocardial infarction: overview of randomised trials. BMJ 1991; 303(6816): 1499-503.</w:t>
      </w:r>
    </w:p>
    <w:p>
      <w:r>
        <w:rPr>
          <w:rFonts w:ascii="Times New Roman" w:hAnsi="Times New Roman"/>
          <w:sz w:val="20"/>
        </w:rPr>
        <w:t>18. Li J, Zhang Q, Zhang M, et al. Intravenous magnesium for acute myocardial infarction. Cochrane Database Syst Rev 2007; (2): CD002755.</w:t>
      </w:r>
    </w:p>
    <w:p>
      <w:r>
        <w:rPr>
          <w:rFonts w:ascii="Times New Roman" w:hAnsi="Times New Roman"/>
          <w:sz w:val="20"/>
        </w:rPr>
        <w:t>19. Anker SD, Clark AL, Winkler R, et al. Statin use and survival in patients with chronic heart failure -- results from two observational studies with 5200 patients. Int J Cardiol 2006; 112(2): 234-42.</w:t>
      </w:r>
    </w:p>
    <w:p>
      <w:r>
        <w:rPr>
          <w:rFonts w:ascii="Times New Roman" w:hAnsi="Times New Roman"/>
          <w:sz w:val="20"/>
        </w:rPr>
        <w:t>20. Mozaffarian D, Nye R and Levy WC. Statin therapy is associated with lower mortality among patients with severe heart failure. Am J Cardiol 2004; 93(9): 1124-9.</w:t>
      </w:r>
    </w:p>
    <w:p>
      <w:r>
        <w:rPr>
          <w:rFonts w:ascii="Times New Roman" w:hAnsi="Times New Roman"/>
          <w:sz w:val="20"/>
        </w:rPr>
        <w:t>21. Horwich TB, MacLellan WR and Fonarow GC. Statin therapy is associated with improved survival in ischemic and non-ischemic heart failure. J Am Coll Cardiol 2004; 43(4): 642-8.</w:t>
      </w:r>
    </w:p>
    <w:p>
      <w:r>
        <w:rPr>
          <w:rFonts w:ascii="Times New Roman" w:hAnsi="Times New Roman"/>
          <w:sz w:val="20"/>
        </w:rPr>
        <w:t>22. Go AS, Lee WY, Yang J, et al. Statin therapy and risks for death and hospitalization in chronic heart failure. JAMA 2006; 296(17): 2105-11.</w:t>
      </w:r>
    </w:p>
    <w:p>
      <w:r>
        <w:rPr>
          <w:rFonts w:ascii="Times New Roman" w:hAnsi="Times New Roman"/>
          <w:sz w:val="20"/>
        </w:rPr>
        <w:t>23. Foody JM, Shah R, Galusha D, et al. Statins and mortality among elderly patients hospitalized with heart failure. Circulation 2006; 113(8): 1086-92.</w:t>
      </w:r>
    </w:p>
    <w:p>
      <w:r>
        <w:rPr>
          <w:rFonts w:ascii="Times New Roman" w:hAnsi="Times New Roman"/>
          <w:sz w:val="20"/>
        </w:rPr>
        <w:t>24. Kjekshus J, Apetrei E, Barrios V, et al. Rosuvastatin in older patients with systolic heart failure. N Engl J Med 2007; 357(22): 2248-61.</w:t>
      </w:r>
    </w:p>
    <w:p>
      <w:r>
        <w:rPr>
          <w:rFonts w:ascii="Times New Roman" w:hAnsi="Times New Roman"/>
          <w:sz w:val="20"/>
        </w:rPr>
        <w:t>25. GISSI-HF Investigators. Effect of rosuvastatin in patients with chronic heart failure (the GISSI-HF trial): a randomised, double-blind, placebo-controlled trial. Lancet 2008; 372(9645): 1231-9.</w:t>
      </w:r>
    </w:p>
    <w:p>
      <w:r>
        <w:rPr>
          <w:rFonts w:ascii="Times New Roman" w:hAnsi="Times New Roman"/>
          <w:sz w:val="20"/>
        </w:rPr>
        <w:t>26. DerSimonian R and Laird N. Meta-analysis in clinical trials. Control Clin Trials 1986; 7(3): 177-88.</w:t>
      </w:r>
    </w:p>
    <w:p>
      <w:r>
        <w:rPr>
          <w:rFonts w:ascii="Times New Roman" w:hAnsi="Times New Roman"/>
          <w:sz w:val="20"/>
        </w:rPr>
        <w:t>27. Hernan MA and Robins JM. Using big data to emulate a target trial when a randomized trial is not available. Am J Epidemiol 2016; 183(8): 758-64.</w:t>
      </w:r>
    </w:p>
    <w:p>
      <w:r>
        <w:rPr>
          <w:rFonts w:ascii="Times New Roman" w:hAnsi="Times New Roman"/>
          <w:sz w:val="20"/>
        </w:rPr>
        <w:t>28. Hernan MA, Wang W and Leaf DE. Target trial emulation: a framework for causal inference from observational data. JAMA 2022; 328(24): 2446-7.</w:t>
      </w:r>
    </w:p>
    <w:p>
      <w:r>
        <w:rPr>
          <w:rFonts w:ascii="Times New Roman" w:hAnsi="Times New Roman"/>
          <w:sz w:val="20"/>
        </w:rPr>
        <w:t>29. Schmidli H, Gsteiger S, Roychoudhury S, et al. Robust meta-analytic-predictive priors in clinical trials with historical control information. Biometrics 2014; 70(4): 1023-32.</w:t>
      </w:r>
    </w:p>
    <w:p>
      <w:r>
        <w:rPr>
          <w:rFonts w:ascii="Times New Roman" w:hAnsi="Times New Roman"/>
          <w:sz w:val="20"/>
        </w:rPr>
        <w:t>30. Verde PE and Ohmann C. Combining randomized and non-randomized evidence in clinical research: a review of methods and applications. Res Synth Methods 2015; 6(1): 45-62.</w:t>
      </w:r>
    </w:p>
    <w:p>
      <w:r>
        <w:rPr>
          <w:rFonts w:ascii="Times New Roman" w:hAnsi="Times New Roman"/>
          <w:sz w:val="20"/>
        </w:rPr>
        <w:t>31. Efthimiou O, Mavridis D, Debray TPA, et al. Combining randomized and non-randomized evidence in network meta-analysis. Stat Med 2017; 36(8): 1210-26.</w:t>
      </w:r>
    </w:p>
    <w:p>
      <w:r>
        <w:br w:type="page"/>
      </w:r>
    </w:p>
    <w:p>
      <w:pPr>
        <w:pStyle w:val="Heading2"/>
      </w:pPr>
      <w:r>
        <w:rPr>
          <w:rFonts w:ascii="Times New Roman" w:hAnsi="Times New Roman"/>
          <w:b/>
          <w:color w:val="000000"/>
          <w:sz w:val="24"/>
        </w:rPr>
        <w:t>Figure Legends</w:t>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(alpha = 0.3, 0.5, 1.0 for magnesium; 0.1, 0.3, 0.5 for statins).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