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4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KOTHA separates structural information loss from residual confounding in trial evidence.</w:t>
      </w:r>
    </w:p>
    <w:p>
      <w:pPr>
        <w:pStyle w:val="ListBullet"/>
      </w:pPr>
      <w:r>
        <w:rPr>
          <w:rFonts w:ascii="Times New Roman" w:hAnsi="Times New Roman"/>
          <w:sz w:val="24"/>
        </w:rPr>
        <w:t>Counterfactual power simulation quantifies enrollment-driven event dilution.</w:t>
      </w:r>
    </w:p>
    <w:p>
      <w:pPr>
        <w:pStyle w:val="ListBullet"/>
      </w:pPr>
      <w:r>
        <w:rPr>
          <w:rFonts w:ascii="Times New Roman" w:hAnsi="Times New Roman"/>
          <w:sz w:val="24"/>
        </w:rPr>
        <w:t>Power-prior Bayesian synthesis transparently discounts observational evidence.</w:t>
      </w:r>
    </w:p>
    <w:p>
      <w:pPr>
        <w:pStyle w:val="ListBullet"/>
      </w:pPr>
      <w:r>
        <w:rPr>
          <w:rFonts w:ascii="Times New Roman" w:hAnsi="Times New Roman"/>
          <w:sz w:val="24"/>
        </w:rPr>
        <w:t>GRADE-compatible output labels evidence as sufficient or insufficient.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