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2682</w:t>
      </w:r>
    </w:p>
    <w:p>
      <w:r>
        <w:rPr>
          <w:rFonts w:ascii="Times New Roman" w:hAnsi="Times New Roman"/>
          <w:b w:val="0"/>
          <w:i/>
          <w:sz w:val="24"/>
        </w:rPr>
        <w:t>Prepared for submission to Clinical Trials: Journal of the Society for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places RCTs and meta-analyses at the top of the evidence hierarchy, yet when observational and RCT evidence disagree the usual explanation is residual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ADEMP</w:t>
      </w:r>
      <w:r>
        <w:rPr>
          <w:rFonts w:ascii="Times New Roman" w:hAnsi="Times New Roman" w:cs="Times New Roman" w:eastAsia="Times New Roman"/>
          <w:sz w:val="24"/>
          <w:szCs w:val="24"/>
        </w:rPr>
        <w:t xml:space="preserve">: Aims, Data-generating mechanisms, Estimands, Methods, Performance measures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AMI</w:t>
      </w:r>
      <w:r>
        <w:rPr>
          <w:rFonts w:ascii="Times New Roman" w:hAnsi="Times New Roman" w:cs="Times New Roman" w:eastAsia="Times New Roman"/>
          <w:sz w:val="24"/>
          <w:szCs w:val="24"/>
        </w:rPr>
        <w:t xml:space="preserve">: Acute myocardial infarction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CrI</w:t>
      </w:r>
      <w:r>
        <w:rPr>
          <w:rFonts w:ascii="Times New Roman" w:hAnsi="Times New Roman" w:cs="Times New Roman" w:eastAsia="Times New Roman"/>
          <w:sz w:val="24"/>
          <w:szCs w:val="24"/>
        </w:rPr>
        <w:t xml:space="preserve">: Credible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CI</w:t>
      </w:r>
      <w:r>
        <w:rPr>
          <w:rFonts w:ascii="Times New Roman" w:hAnsi="Times New Roman" w:cs="Times New Roman" w:eastAsia="Times New Roman"/>
          <w:sz w:val="24"/>
          <w:szCs w:val="24"/>
        </w:rPr>
        <w:t xml:space="preserve">: Confidence interval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GRADE</w:t>
      </w:r>
      <w:r>
        <w:rPr>
          <w:rFonts w:ascii="Times New Roman" w:hAnsi="Times New Roman" w:cs="Times New Roman" w:eastAsia="Times New Roman"/>
          <w:sz w:val="24"/>
          <w:szCs w:val="24"/>
        </w:rPr>
        <w:t xml:space="preserve">: Grading of Recommendations Assessment, Development and Evaluation</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HF</w:t>
      </w:r>
      <w:r>
        <w:rPr>
          <w:rFonts w:ascii="Times New Roman" w:hAnsi="Times New Roman" w:cs="Times New Roman" w:eastAsia="Times New Roman"/>
          <w:sz w:val="24"/>
          <w:szCs w:val="24"/>
        </w:rPr>
        <w:t xml:space="preserve">: Heart failure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HR</w:t>
      </w:r>
      <w:r>
        <w:rPr>
          <w:rFonts w:ascii="Times New Roman" w:hAnsi="Times New Roman" w:cs="Times New Roman" w:eastAsia="Times New Roman"/>
          <w:sz w:val="24"/>
          <w:szCs w:val="24"/>
        </w:rPr>
        <w:t xml:space="preserve">: Hazard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KOTHA</w:t>
      </w:r>
      <w:r>
        <w:rPr>
          <w:rFonts w:ascii="Times New Roman" w:hAnsi="Times New Roman" w:cs="Times New Roman" w:eastAsia="Times New Roman"/>
          <w:sz w:val="24"/>
          <w:szCs w:val="24"/>
        </w:rPr>
        <w:t xml:space="preserve">: Knowledge-driven Observational-Trial Harmonization Approach</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MCMC</w:t>
      </w:r>
      <w:r>
        <w:rPr>
          <w:rFonts w:ascii="Times New Roman" w:hAnsi="Times New Roman" w:cs="Times New Roman" w:eastAsia="Times New Roman"/>
          <w:sz w:val="24"/>
          <w:szCs w:val="24"/>
        </w:rPr>
        <w:t xml:space="preserve">: Markov chain Monte Carlo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OIS</w:t>
      </w:r>
      <w:r>
        <w:rPr>
          <w:rFonts w:ascii="Times New Roman" w:hAnsi="Times New Roman" w:cs="Times New Roman" w:eastAsia="Times New Roman"/>
          <w:sz w:val="24"/>
          <w:szCs w:val="24"/>
        </w:rPr>
        <w:t xml:space="preserve">: Optimal information size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Odds ratio</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RCT</w:t>
      </w:r>
      <w:r>
        <w:rPr>
          <w:rFonts w:ascii="Times New Roman" w:hAnsi="Times New Roman" w:cs="Times New Roman" w:eastAsia="Times New Roman"/>
          <w:sz w:val="24"/>
          <w:szCs w:val="24"/>
        </w:rPr>
        <w:t xml:space="preserve">: Randomized controlled trial</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TSA</w:t>
      </w:r>
      <w:r>
        <w:rPr>
          <w:rFonts w:ascii="Times New Roman" w:hAnsi="Times New Roman" w:cs="Times New Roman" w:eastAsia="Times New Roman"/>
          <w:sz w:val="24"/>
          <w:szCs w:val="24"/>
        </w:rPr>
        <w:t xml:space="preserve">: Trial sequential analysis</w:t>
      </w:r>
    </w:p>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Both are underused in guideline development, however, and neither directly quantifies the information loss produced by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(Supplementary Table S1),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address this gap we developed the Knowledge-driven Observational-Trial Harmonization Approach (KOTHA). The framework has three modules: Module K diagnoses structural information loss through counterfactual power simulation; Module T integrates discordant evidence through hierarchical Bayesian meta-analysis; and Module H translates quantitative findings into a GRADE-compatible evidence assessment. We describe the framework here and illustrate it with two canonical cases of observational-RCT divergence, focusing on implications for clinical trial design.</w:t>
      </w:r>
    </w:p>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1):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r>
        <w:rPr>
          <w:rFonts w:ascii="Times New Roman" w:hAnsi="Times New Roman"/>
          <w:b/>
          <w:i w:val="0"/>
          <w:sz w:val="24"/>
        </w:rPr>
        <w:t>Table 1: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S2 (magnesium in AMI) and Supplementary Table S3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Fig. 4 shows forest plots for magnesium and statins.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Under fixed-effect accumulation the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Because cumulative information exceeded the optimal information size, this boundary equals the conventional two-sided boundary (Supplementary Fig. S2).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(Supplementary Table S4)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(Supplementary Fig. S3A).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(Supplementary Fig. S3B). Even with moderate borrowing from observational evidence, conclusions remained uncertain.</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2 and Supplementary Fig. S4.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2: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showed that even modest borrowing from observational evidence materially raised the posterior probability of benefit, yet the evidence remained uncertain.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This reframes the design question: instead of asking what sample size is needed under a hypothesized effect, the trialist asks what sample size is needed given the event rate that the enrolled population will actually display.</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