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2682</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places RCTs and meta-analyses at the top of the evidence hierarchy, yet when observational and RCT evidence disagree the usual explanation is residual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ADEMP</w:t>
      </w:r>
      <w:r>
        <w:rPr>
          <w:rFonts w:ascii="Times New Roman" w:hAnsi="Times New Roman" w:cs="Times New Roman" w:eastAsia="Times New Roman"/>
          <w:sz w:val="24"/>
          <w:szCs w:val="24"/>
        </w:rPr>
        <w:t xml:space="preserve">: Aims, Data-generating mechanisms, Estimands, Methods, Performance measures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AMI</w:t>
      </w:r>
      <w:r>
        <w:rPr>
          <w:rFonts w:ascii="Times New Roman" w:hAnsi="Times New Roman" w:cs="Times New Roman" w:eastAsia="Times New Roman"/>
          <w:sz w:val="24"/>
          <w:szCs w:val="24"/>
        </w:rPr>
        <w:t xml:space="preserve">: Acute myocardial infarction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CrI</w:t>
      </w:r>
      <w:r>
        <w:rPr>
          <w:rFonts w:ascii="Times New Roman" w:hAnsi="Times New Roman" w:cs="Times New Roman" w:eastAsia="Times New Roman"/>
          <w:sz w:val="24"/>
          <w:szCs w:val="24"/>
        </w:rPr>
        <w:t xml:space="preserve">: Credible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CI</w:t>
      </w:r>
      <w:r>
        <w:rPr>
          <w:rFonts w:ascii="Times New Roman" w:hAnsi="Times New Roman" w:cs="Times New Roman" w:eastAsia="Times New Roman"/>
          <w:sz w:val="24"/>
          <w:szCs w:val="24"/>
        </w:rPr>
        <w:t xml:space="preserve">: Confidence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GRADE</w:t>
      </w:r>
      <w:r>
        <w:rPr>
          <w:rFonts w:ascii="Times New Roman" w:hAnsi="Times New Roman" w:cs="Times New Roman" w:eastAsia="Times New Roman"/>
          <w:sz w:val="24"/>
          <w:szCs w:val="24"/>
        </w:rPr>
        <w:t xml:space="preserve">: Grading of Recommendations Assessment, Development and Evaluation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HF</w:t>
      </w:r>
      <w:r>
        <w:rPr>
          <w:rFonts w:ascii="Times New Roman" w:hAnsi="Times New Roman" w:cs="Times New Roman" w:eastAsia="Times New Roman"/>
          <w:sz w:val="24"/>
          <w:szCs w:val="24"/>
        </w:rPr>
        <w:t xml:space="preserve">: Heart failure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HR</w:t>
      </w:r>
      <w:r>
        <w:rPr>
          <w:rFonts w:ascii="Times New Roman" w:hAnsi="Times New Roman" w:cs="Times New Roman" w:eastAsia="Times New Roman"/>
          <w:sz w:val="24"/>
          <w:szCs w:val="24"/>
        </w:rPr>
        <w:t xml:space="preserve">: Hazard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KOTHA</w:t>
      </w:r>
      <w:r>
        <w:rPr>
          <w:rFonts w:ascii="Times New Roman" w:hAnsi="Times New Roman" w:cs="Times New Roman" w:eastAsia="Times New Roman"/>
          <w:sz w:val="24"/>
          <w:szCs w:val="24"/>
        </w:rPr>
        <w:t xml:space="preserve">: Knowledge-driven Observational-Trial Harmonization Approach</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MCMC</w:t>
      </w:r>
      <w:r>
        <w:rPr>
          <w:rFonts w:ascii="Times New Roman" w:hAnsi="Times New Roman" w:cs="Times New Roman" w:eastAsia="Times New Roman"/>
          <w:sz w:val="24"/>
          <w:szCs w:val="24"/>
        </w:rPr>
        <w:t xml:space="preserve">: Markov chain Monte Carlo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OIS</w:t>
      </w:r>
      <w:r>
        <w:rPr>
          <w:rFonts w:ascii="Times New Roman" w:hAnsi="Times New Roman" w:cs="Times New Roman" w:eastAsia="Times New Roman"/>
          <w:sz w:val="24"/>
          <w:szCs w:val="24"/>
        </w:rPr>
        <w:t xml:space="preserve">: Optimal information size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Odds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RCT</w:t>
      </w:r>
      <w:r>
        <w:rPr>
          <w:rFonts w:ascii="Times New Roman" w:hAnsi="Times New Roman" w:cs="Times New Roman" w:eastAsia="Times New Roman"/>
          <w:sz w:val="24"/>
          <w:szCs w:val="24"/>
        </w:rPr>
        <w:t xml:space="preserve">: Randomized controlled trial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TSA</w:t>
      </w:r>
      <w:r>
        <w:rPr>
          <w:rFonts w:ascii="Times New Roman" w:hAnsi="Times New Roman" w:cs="Times New Roman" w:eastAsia="Times New Roman"/>
          <w:sz w:val="24"/>
          <w:szCs w:val="24"/>
        </w:rPr>
        <w:t xml:space="preserve">: Trial sequential analysis</w:t>
      </w:r>
    </w:p>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Both are underused in guideline development, however, and neither directly quantifies the information loss produced by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(Supplementary Table S1),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address this gap we developed the Knowledge-driven Observational-Trial Harmonization Approach (KOTHA). The framework has three modules: Module K diagnoses structural information loss through counterfactual power simulation; Module T integrates discordant evidence through hierarchical Bayesian meta-analysis; and Module H translates quantitative findings into a GRADE-compatible evidence assessment. We describe the framework here and illustrate it with two canonical cases of observational-RCT divergence, focusing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jc w:val="center"/>
      </w:pPr>
      <w:r>
        <w:rPr>
          <w:rFonts w:ascii="Times New Roman" w:hAnsi="Times New Roman"/>
          <w:b/>
          <w:sz w:val="20"/>
        </w:rPr>
        <w:t>[Insert Figure 1]</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S2 (magnesium in AMI) and Supplementary Table S3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rPr>
          <w:rFonts w:ascii="Times New Roman" w:hAnsi="Times New Roman"/>
          <w:b/>
          <w:sz w:val="20"/>
        </w:rPr>
        <w:t>[Insert Figure 2]</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rPr>
          <w:rFonts w:ascii="Times New Roman" w:hAnsi="Times New Roman"/>
          <w:b/>
          <w:sz w:val="20"/>
        </w:rPr>
        <w:t>[Insert Figure 3]</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Fig. 4 shows forest plots for magnesium and statins.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Under fixed-effect accumulation the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Because cumulative information exceeded the optimal information size, this boundary equals the conventional two-sided boundary (Supplementary Fig. S2).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rPr>
          <w:rFonts w:ascii="Times New Roman" w:hAnsi="Times New Roman"/>
          <w:b/>
          <w:sz w:val="20"/>
        </w:rPr>
        <w:t>[Insert Figure 4]</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showed that even modest borrowing from observational evidence materially raised the posterior probability of benefit, yet the evidence remained uncertain. Module H classified magnesium as inconclusive with serious inconsistency (heterogeneity), and statins as inconclusive with serious indirectness, rather than "evidence of no effect."</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This reframes the design question: instead of asking what sample size is needed under a hypothesized effect, the trialist asks what sample size is needed given the event rate that the enrolled population will actually display.</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p>
      <w:r>
        <w:br w:type="page"/>
      </w:r>
    </w:p>
    <w:p>
      <w:pPr>
        <w:pStyle w:val="Heading2"/>
      </w:pPr>
      <w:r>
        <w:rPr>
          <w:rFonts w:ascii="Times New Roman" w:hAnsi="Times New Roman"/>
          <w:b/>
          <w:color w:val="000000"/>
          <w:sz w:val="24"/>
        </w:rPr>
        <w:t>Figure Legends</w:t>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