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4"/>
        </w:rPr>
        <w:t>Running head: KOTHA Framework for Trial Design</w:t>
      </w:r>
    </w:p>
    <w:p>
      <w:pPr>
        <w:jc w:val="center"/>
      </w:pPr>
      <w:r>
        <w:rPr>
          <w:rFonts w:ascii="Times New Roman" w:hAnsi="Times New Roman"/>
          <w:b/>
          <w:i w:val="0"/>
          <w:sz w:val="28"/>
        </w:rPr>
        <w:t>The KOTHA Framework: Diagnosing Structural Information Loss in Randomized Controlled Trial Meta-Analyses to Inform Trial Design</w:t>
      </w:r>
    </w:p>
    <w:p>
      <w:pPr>
        <w:jc w:val="center"/>
      </w:pPr>
      <w:r>
        <w:rPr>
          <w:rFonts w:ascii="Times New Roman" w:hAnsi="Times New Roman"/>
          <w:b w:val="0"/>
          <w:i/>
          <w:sz w:val="24"/>
        </w:rPr>
        <w:t>[To be determined]</w:t>
      </w:r>
    </w:p>
    <w:p>
      <w:pPr>
        <w:jc w:val="center"/>
      </w:pPr>
      <w:r>
        <w:rPr>
          <w:rFonts w:ascii="Times New Roman" w:hAnsi="Times New Roman"/>
          <w:b w:val="0"/>
          <w:i/>
          <w:sz w:val="24"/>
        </w:rPr>
        <w:t>Affiliations: [To be determined]</w:t>
      </w:r>
    </w:p>
    <w:p>
      <w:r>
        <w:rPr>
          <w:rFonts w:ascii="Times New Roman" w:hAnsi="Times New Roman"/>
          <w:b w:val="0"/>
          <w:i w:val="0"/>
          <w:sz w:val="24"/>
        </w:rPr>
        <w:t>Corresponding author: [To be determined]</w:t>
      </w:r>
    </w:p>
    <w:p>
      <w:r>
        <w:rPr>
          <w:rFonts w:ascii="Times New Roman" w:hAnsi="Times New Roman"/>
          <w:b w:val="0"/>
          <w:i w:val="0"/>
          <w:sz w:val="24"/>
        </w:rPr>
        <w:t>Corresponding author address: [To be determined]</w:t>
      </w:r>
    </w:p>
    <w:p>
      <w:r>
        <w:rPr>
          <w:rFonts w:ascii="Times New Roman" w:hAnsi="Times New Roman"/>
          <w:b w:val="0"/>
          <w:i w:val="0"/>
          <w:sz w:val="24"/>
        </w:rPr>
        <w:t>Word count: 2682</w:t>
      </w:r>
    </w:p>
    <w:p>
      <w:r>
        <w:rPr>
          <w:rFonts w:ascii="Times New Roman" w:hAnsi="Times New Roman"/>
          <w:b w:val="0"/>
          <w:i/>
          <w:sz w:val="24"/>
        </w:rPr>
        <w:t>Prepared for submission to Contemporary Clinical Trials Communications</w:t>
      </w:r>
    </w:p>
    <w:p>
      <w:r>
        <w:br w:type="page"/>
      </w:r>
    </w:p>
    <w:p>
      <w:pPr>
        <w:pStyle w:val="Heading2"/>
      </w:pPr>
      <w:r>
        <w:rPr>
          <w:rFonts w:ascii="Times New Roman" w:hAnsi="Times New Roman"/>
          <w:b/>
          <w:color w:val="000000"/>
          <w:sz w:val="24"/>
        </w:rPr>
        <w:t>Highlights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KOTHA separates structural information loss from residual confounding.</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Counterfactual power simulation quantifies enrollment-driven event dilution.</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Power-prior Bayesian synthesis transparently discounts observational evidence.</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GRADE-compatible output labels evidence as sufficient or insufficient.</w:t>
      </w:r>
    </w:p>
    <w:p>
      <w:pPr>
        <w:pStyle w:val="Heading2"/>
      </w:pPr>
      <w:r>
        <w:rPr>
          <w:rFonts w:ascii="Times New Roman" w:hAnsi="Times New Roman"/>
          <w:b/>
          <w:color w:val="000000"/>
          <w:sz w:val="24"/>
        </w:rPr>
        <w:t>Abstract</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Background/Aims</w:t>
      </w:r>
      <w:r>
        <w:rPr>
          <w:rFonts w:ascii="Times New Roman" w:hAnsi="Times New Roman" w:cs="Times New Roman" w:eastAsia="Times New Roman"/>
          <w:sz w:val="24"/>
          <w:szCs w:val="24"/>
        </w:rPr>
        <w:t xml:space="preserve">: Evidence-based medicine ranks RCTs and meta-analyses highest, yet observational-RCT discordance is usually attributed to confounding. We highlight a structural explanation: trial enrollment progressively excludes higher-risk patients, diluting event rates and statistical information. The Knowledge-driven Observational-Trial Harmonization Approach (KOTHA) Framework diagnoses this structural information loss. We aimed to develop and illustrate KOTHA so that trialists can distinguish structural information loss from residual confounding and inform sample size, eligibility, enrichment, and endpoint decisions in prospective trial design.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Methods</w:t>
      </w:r>
      <w:r>
        <w:rPr>
          <w:rFonts w:ascii="Times New Roman" w:hAnsi="Times New Roman" w:cs="Times New Roman" w:eastAsia="Times New Roman"/>
          <w:sz w:val="24"/>
          <w:szCs w:val="24"/>
        </w:rPr>
        <w:t xml:space="preserve">: KOTHA comprises three modules: Module K quantifies risk-profile shifts and power loss, Module T combines RCT and observational evidence with power-prior discounting, and Module H translates outputs into a GRADE-compatible assessment. We applied it to magnesium in acute myocardial infarction and statins in heart failure.</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Results</w:t>
      </w:r>
      <w:r>
        <w:rPr>
          <w:rFonts w:ascii="Times New Roman" w:hAnsi="Times New Roman" w:cs="Times New Roman" w:eastAsia="Times New Roman"/>
          <w:sz w:val="24"/>
          <w:szCs w:val="24"/>
        </w:rPr>
        <w:t xml:space="preserve">: In the magnesium case, control event rates fell from 8.9% to 7.2%; the pre-ISIS-4 pooled odds ratio (OR) was 0.54 (95% CI: 0.40-0.75) and the all-trials estimate 0.56 (0.38-0.83)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In the statins case, observational hazard ratio (HR) was 0.72 (0.64-0.80) versus RCT HR 0.97 (0.90-1.05), with an event-rate ratio of 0.51. Bayesian integration (α = 0.3) yielded OR 0.74 (CrI 0.25-1.43), P(OR &lt; 1) = 80.7% for magnesium and HR 0.85 (0.55-1.24), P(HR &lt; 1) = 86.5% for statins; both probabilities remained below conventional decision thresholds, leaving conclusions uncertain.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Conclusions</w:t>
      </w:r>
      <w:r>
        <w:rPr>
          <w:rFonts w:ascii="Times New Roman" w:hAnsi="Times New Roman" w:cs="Times New Roman" w:eastAsia="Times New Roman"/>
          <w:sz w:val="24"/>
          <w:szCs w:val="24"/>
        </w:rPr>
        <w:t xml:space="preserve">: KOTHA distinguishes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evidence of no effect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from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no evidence of effect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Module H classified magnesium as inconclusive with serious inconsistency (heterogeneity), and statins as inconclusive with serious indirectness.</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Keywords</w:t>
      </w:r>
      <w:r>
        <w:rPr>
          <w:rFonts w:ascii="Times New Roman" w:hAnsi="Times New Roman" w:cs="Times New Roman" w:eastAsia="Times New Roman"/>
          <w:sz w:val="24"/>
          <w:szCs w:val="24"/>
        </w:rPr>
        <w:t xml:space="preserve">: randomized controlled trials, meta-analysis, observational studies, trial design, Bayesian evidence synthesis, GRADE</w:t>
      </w:r>
    </w:p>
    <w:p>
      <w:pPr>
        <w:pStyle w:val="Heading2"/>
      </w:pPr>
      <w:r>
        <w:rPr>
          <w:rFonts w:ascii="Times New Roman" w:hAnsi="Times New Roman"/>
          <w:b/>
          <w:color w:val="000000"/>
          <w:sz w:val="24"/>
        </w:rPr>
        <w:t>Abbreviations</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3960"/>
        <w:gridCol w:w="396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Abbreviation</w:t>
            </w:r>
          </w:p>
        </w:tc>
        <w:tc>
          <w:tcPr/>
          <w:p>
            <w:pPr>
              <w:pStyle w:val="Normal"/>
              <w:jc w:val="left"/>
              <w:spacing w:line="240" w:lineRule="auto" w:after="0"/>
            </w:pPr>
            <w:r>
              <w:rPr>
                <w:rFonts w:ascii="Times New Roman" w:hAnsi="Times New Roman" w:cs="Times New Roman" w:eastAsia="Times New Roman"/>
                <w:sz w:val="20"/>
                <w:szCs w:val="20"/>
                <w:b/>
              </w:rPr>
              <w:t xml:space="preserve">Definition</w:t>
            </w:r>
          </w:p>
        </w:tc>
      </w:tr>
      <w:tr>
        <w:tc>
          <w:tcPr/>
          <w:p>
            <w:pPr>
              <w:pStyle w:val="Normal"/>
              <w:jc w:val="left"/>
              <w:spacing w:line="240" w:lineRule="auto" w:after="0"/>
            </w:pPr>
            <w:r>
              <w:rPr>
                <w:rFonts w:ascii="Times New Roman" w:hAnsi="Times New Roman" w:cs="Times New Roman" w:eastAsia="Times New Roman"/>
                <w:sz w:val="20"/>
                <w:szCs w:val="20"/>
              </w:rPr>
              <w:t xml:space="preserve">ADEMP</w:t>
            </w:r>
          </w:p>
        </w:tc>
        <w:tc>
          <w:tcPr/>
          <w:p>
            <w:pPr>
              <w:pStyle w:val="Normal"/>
              <w:jc w:val="left"/>
              <w:spacing w:line="240" w:lineRule="auto" w:after="0"/>
            </w:pPr>
            <w:r>
              <w:rPr>
                <w:rFonts w:ascii="Times New Roman" w:hAnsi="Times New Roman" w:cs="Times New Roman" w:eastAsia="Times New Roman"/>
                <w:sz w:val="20"/>
                <w:szCs w:val="20"/>
              </w:rPr>
              <w:t xml:space="preserve">Aims, Data-generating mechanisms, Estimands, Methods, Performance measures</w:t>
            </w:r>
          </w:p>
        </w:tc>
      </w:tr>
      <w:tr>
        <w:tc>
          <w:tcPr/>
          <w:p>
            <w:pPr>
              <w:pStyle w:val="Normal"/>
              <w:jc w:val="left"/>
              <w:spacing w:line="240" w:lineRule="auto" w:after="0"/>
            </w:pPr>
            <w:r>
              <w:rPr>
                <w:rFonts w:ascii="Times New Roman" w:hAnsi="Times New Roman" w:cs="Times New Roman" w:eastAsia="Times New Roman"/>
                <w:sz w:val="20"/>
                <w:szCs w:val="20"/>
              </w:rPr>
              <w:t xml:space="preserve">AMI</w:t>
            </w:r>
          </w:p>
        </w:tc>
        <w:tc>
          <w:tcPr/>
          <w:p>
            <w:pPr>
              <w:pStyle w:val="Normal"/>
              <w:jc w:val="left"/>
              <w:spacing w:line="240" w:lineRule="auto" w:after="0"/>
            </w:pPr>
            <w:r>
              <w:rPr>
                <w:rFonts w:ascii="Times New Roman" w:hAnsi="Times New Roman" w:cs="Times New Roman" w:eastAsia="Times New Roman"/>
                <w:sz w:val="20"/>
                <w:szCs w:val="20"/>
              </w:rPr>
              <w:t xml:space="preserve">Acute myocardial infarction</w:t>
            </w:r>
          </w:p>
        </w:tc>
      </w:tr>
      <w:tr>
        <w:tc>
          <w:tcPr/>
          <w:p>
            <w:pPr>
              <w:pStyle w:val="Normal"/>
              <w:jc w:val="left"/>
              <w:spacing w:line="240" w:lineRule="auto" w:after="0"/>
            </w:pPr>
            <w:r>
              <w:rPr>
                <w:rFonts w:ascii="Times New Roman" w:hAnsi="Times New Roman" w:cs="Times New Roman" w:eastAsia="Times New Roman"/>
                <w:sz w:val="20"/>
                <w:szCs w:val="20"/>
              </w:rPr>
              <w:t xml:space="preserve">CrI</w:t>
            </w:r>
          </w:p>
        </w:tc>
        <w:tc>
          <w:tcPr/>
          <w:p>
            <w:pPr>
              <w:pStyle w:val="Normal"/>
              <w:jc w:val="left"/>
              <w:spacing w:line="240" w:lineRule="auto" w:after="0"/>
            </w:pPr>
            <w:r>
              <w:rPr>
                <w:rFonts w:ascii="Times New Roman" w:hAnsi="Times New Roman" w:cs="Times New Roman" w:eastAsia="Times New Roman"/>
                <w:sz w:val="20"/>
                <w:szCs w:val="20"/>
              </w:rPr>
              <w:t xml:space="preserve">Credible interval</w:t>
            </w:r>
          </w:p>
        </w:tc>
      </w:tr>
      <w:tr>
        <w:tc>
          <w:tcPr/>
          <w:p>
            <w:pPr>
              <w:pStyle w:val="Normal"/>
              <w:jc w:val="left"/>
              <w:spacing w:line="240" w:lineRule="auto" w:after="0"/>
            </w:pPr>
            <w:r>
              <w:rPr>
                <w:rFonts w:ascii="Times New Roman" w:hAnsi="Times New Roman" w:cs="Times New Roman" w:eastAsia="Times New Roman"/>
                <w:sz w:val="20"/>
                <w:szCs w:val="20"/>
              </w:rPr>
              <w:t xml:space="preserve">CI</w:t>
            </w:r>
          </w:p>
        </w:tc>
        <w:tc>
          <w:tcPr/>
          <w:p>
            <w:pPr>
              <w:pStyle w:val="Normal"/>
              <w:jc w:val="left"/>
              <w:spacing w:line="240" w:lineRule="auto" w:after="0"/>
            </w:pPr>
            <w:r>
              <w:rPr>
                <w:rFonts w:ascii="Times New Roman" w:hAnsi="Times New Roman" w:cs="Times New Roman" w:eastAsia="Times New Roman"/>
                <w:sz w:val="20"/>
                <w:szCs w:val="20"/>
              </w:rPr>
              <w:t xml:space="preserve">Confidence interval</w:t>
            </w:r>
          </w:p>
        </w:tc>
      </w:tr>
      <w:tr>
        <w:tc>
          <w:tcPr/>
          <w:p>
            <w:pPr>
              <w:pStyle w:val="Normal"/>
              <w:jc w:val="left"/>
              <w:spacing w:line="240" w:lineRule="auto" w:after="0"/>
            </w:pPr>
            <w:r>
              <w:rPr>
                <w:rFonts w:ascii="Times New Roman" w:hAnsi="Times New Roman" w:cs="Times New Roman" w:eastAsia="Times New Roman"/>
                <w:sz w:val="20"/>
                <w:szCs w:val="20"/>
              </w:rPr>
              <w:t xml:space="preserve">GRADE</w:t>
            </w:r>
          </w:p>
        </w:tc>
        <w:tc>
          <w:tcPr/>
          <w:p>
            <w:pPr>
              <w:pStyle w:val="Normal"/>
              <w:jc w:val="left"/>
              <w:spacing w:line="240" w:lineRule="auto" w:after="0"/>
            </w:pPr>
            <w:r>
              <w:rPr>
                <w:rFonts w:ascii="Times New Roman" w:hAnsi="Times New Roman" w:cs="Times New Roman" w:eastAsia="Times New Roman"/>
                <w:sz w:val="20"/>
                <w:szCs w:val="20"/>
              </w:rPr>
              <w:t xml:space="preserve">Grading of Recommendations Assessment, Development and Evaluation</w:t>
            </w:r>
          </w:p>
        </w:tc>
      </w:tr>
      <w:tr>
        <w:tc>
          <w:tcPr/>
          <w:p>
            <w:pPr>
              <w:pStyle w:val="Normal"/>
              <w:jc w:val="left"/>
              <w:spacing w:line="240" w:lineRule="auto" w:after="0"/>
            </w:pPr>
            <w:r>
              <w:rPr>
                <w:rFonts w:ascii="Times New Roman" w:hAnsi="Times New Roman" w:cs="Times New Roman" w:eastAsia="Times New Roman"/>
                <w:sz w:val="20"/>
                <w:szCs w:val="20"/>
              </w:rPr>
              <w:t xml:space="preserve">HF</w:t>
            </w:r>
          </w:p>
        </w:tc>
        <w:tc>
          <w:tcPr/>
          <w:p>
            <w:pPr>
              <w:pStyle w:val="Normal"/>
              <w:jc w:val="left"/>
              <w:spacing w:line="240" w:lineRule="auto" w:after="0"/>
            </w:pPr>
            <w:r>
              <w:rPr>
                <w:rFonts w:ascii="Times New Roman" w:hAnsi="Times New Roman" w:cs="Times New Roman" w:eastAsia="Times New Roman"/>
                <w:sz w:val="20"/>
                <w:szCs w:val="20"/>
              </w:rPr>
              <w:t xml:space="preserve">Heart failure</w:t>
            </w:r>
          </w:p>
        </w:tc>
      </w:tr>
      <w:tr>
        <w:tc>
          <w:tcPr/>
          <w:p>
            <w:pPr>
              <w:pStyle w:val="Normal"/>
              <w:jc w:val="left"/>
              <w:spacing w:line="240" w:lineRule="auto" w:after="0"/>
            </w:pPr>
            <w:r>
              <w:rPr>
                <w:rFonts w:ascii="Times New Roman" w:hAnsi="Times New Roman" w:cs="Times New Roman" w:eastAsia="Times New Roman"/>
                <w:sz w:val="20"/>
                <w:szCs w:val="20"/>
              </w:rPr>
              <w:t xml:space="preserve">HR</w:t>
            </w:r>
          </w:p>
        </w:tc>
        <w:tc>
          <w:tcPr/>
          <w:p>
            <w:pPr>
              <w:pStyle w:val="Normal"/>
              <w:jc w:val="left"/>
              <w:spacing w:line="240" w:lineRule="auto" w:after="0"/>
            </w:pPr>
            <w:r>
              <w:rPr>
                <w:rFonts w:ascii="Times New Roman" w:hAnsi="Times New Roman" w:cs="Times New Roman" w:eastAsia="Times New Roman"/>
                <w:sz w:val="20"/>
                <w:szCs w:val="20"/>
              </w:rPr>
              <w:t xml:space="preserve">Hazard ratio</w:t>
            </w:r>
          </w:p>
        </w:tc>
      </w:tr>
      <w:tr>
        <w:tc>
          <w:tcPr/>
          <w:p>
            <w:pPr>
              <w:pStyle w:val="Normal"/>
              <w:jc w:val="left"/>
              <w:spacing w:line="240" w:lineRule="auto" w:after="0"/>
            </w:pPr>
            <w:r>
              <w:rPr>
                <w:rFonts w:ascii="Times New Roman" w:hAnsi="Times New Roman" w:cs="Times New Roman" w:eastAsia="Times New Roman"/>
                <w:sz w:val="20"/>
                <w:szCs w:val="20"/>
              </w:rPr>
              <w:t xml:space="preserve">KOTHA</w:t>
            </w:r>
          </w:p>
        </w:tc>
        <w:tc>
          <w:tcPr/>
          <w:p>
            <w:pPr>
              <w:pStyle w:val="Normal"/>
              <w:jc w:val="left"/>
              <w:spacing w:line="240" w:lineRule="auto" w:after="0"/>
            </w:pPr>
            <w:r>
              <w:rPr>
                <w:rFonts w:ascii="Times New Roman" w:hAnsi="Times New Roman" w:cs="Times New Roman" w:eastAsia="Times New Roman"/>
                <w:sz w:val="20"/>
                <w:szCs w:val="20"/>
              </w:rPr>
              <w:t xml:space="preserve">Knowledge-driven Observational-Trial Harmonization Approach</w:t>
            </w:r>
          </w:p>
        </w:tc>
      </w:tr>
      <w:tr>
        <w:tc>
          <w:tcPr/>
          <w:p>
            <w:pPr>
              <w:pStyle w:val="Normal"/>
              <w:jc w:val="left"/>
              <w:spacing w:line="240" w:lineRule="auto" w:after="0"/>
            </w:pPr>
            <w:r>
              <w:rPr>
                <w:rFonts w:ascii="Times New Roman" w:hAnsi="Times New Roman" w:cs="Times New Roman" w:eastAsia="Times New Roman"/>
                <w:sz w:val="20"/>
                <w:szCs w:val="20"/>
              </w:rPr>
              <w:t xml:space="preserve">MCMC</w:t>
            </w:r>
          </w:p>
        </w:tc>
        <w:tc>
          <w:tcPr/>
          <w:p>
            <w:pPr>
              <w:pStyle w:val="Normal"/>
              <w:jc w:val="left"/>
              <w:spacing w:line="240" w:lineRule="auto" w:after="0"/>
            </w:pPr>
            <w:r>
              <w:rPr>
                <w:rFonts w:ascii="Times New Roman" w:hAnsi="Times New Roman" w:cs="Times New Roman" w:eastAsia="Times New Roman"/>
                <w:sz w:val="20"/>
                <w:szCs w:val="20"/>
              </w:rPr>
              <w:t xml:space="preserve">Markov chain Monte Carlo</w:t>
            </w:r>
          </w:p>
        </w:tc>
      </w:tr>
      <w:tr>
        <w:tc>
          <w:tcPr/>
          <w:p>
            <w:pPr>
              <w:pStyle w:val="Normal"/>
              <w:jc w:val="left"/>
              <w:spacing w:line="240" w:lineRule="auto" w:after="0"/>
            </w:pPr>
            <w:r>
              <w:rPr>
                <w:rFonts w:ascii="Times New Roman" w:hAnsi="Times New Roman" w:cs="Times New Roman" w:eastAsia="Times New Roman"/>
                <w:sz w:val="20"/>
                <w:szCs w:val="20"/>
              </w:rPr>
              <w:t xml:space="preserve">OIS</w:t>
            </w:r>
          </w:p>
        </w:tc>
        <w:tc>
          <w:tcPr/>
          <w:p>
            <w:pPr>
              <w:pStyle w:val="Normal"/>
              <w:jc w:val="left"/>
              <w:spacing w:line="240" w:lineRule="auto" w:after="0"/>
            </w:pPr>
            <w:r>
              <w:rPr>
                <w:rFonts w:ascii="Times New Roman" w:hAnsi="Times New Roman" w:cs="Times New Roman" w:eastAsia="Times New Roman"/>
                <w:sz w:val="20"/>
                <w:szCs w:val="20"/>
              </w:rPr>
              <w:t xml:space="preserve">Optimal information size</w:t>
            </w:r>
          </w:p>
        </w:tc>
      </w:tr>
      <w:tr>
        <w:tc>
          <w:tcPr/>
          <w:p>
            <w:pPr>
              <w:pStyle w:val="Normal"/>
              <w:jc w:val="left"/>
              <w:spacing w:line="240" w:lineRule="auto" w:after="0"/>
            </w:pPr>
            <w:r>
              <w:rPr>
                <w:rFonts w:ascii="Times New Roman" w:hAnsi="Times New Roman" w:cs="Times New Roman" w:eastAsia="Times New Roman"/>
                <w:sz w:val="20"/>
                <w:szCs w:val="20"/>
              </w:rPr>
              <w:t xml:space="preserve">OR</w:t>
            </w:r>
          </w:p>
        </w:tc>
        <w:tc>
          <w:tcPr/>
          <w:p>
            <w:pPr>
              <w:pStyle w:val="Normal"/>
              <w:jc w:val="left"/>
              <w:spacing w:line="240" w:lineRule="auto" w:after="0"/>
            </w:pPr>
            <w:r>
              <w:rPr>
                <w:rFonts w:ascii="Times New Roman" w:hAnsi="Times New Roman" w:cs="Times New Roman" w:eastAsia="Times New Roman"/>
                <w:sz w:val="20"/>
                <w:szCs w:val="20"/>
              </w:rPr>
              <w:t xml:space="preserve">Odds ratio</w:t>
            </w:r>
          </w:p>
        </w:tc>
      </w:tr>
      <w:tr>
        <w:tc>
          <w:tcPr/>
          <w:p>
            <w:pPr>
              <w:pStyle w:val="Normal"/>
              <w:jc w:val="left"/>
              <w:spacing w:line="240" w:lineRule="auto" w:after="0"/>
            </w:pPr>
            <w:r>
              <w:rPr>
                <w:rFonts w:ascii="Times New Roman" w:hAnsi="Times New Roman" w:cs="Times New Roman" w:eastAsia="Times New Roman"/>
                <w:sz w:val="20"/>
                <w:szCs w:val="20"/>
              </w:rPr>
              <w:t xml:space="preserve">RCT</w:t>
            </w:r>
          </w:p>
        </w:tc>
        <w:tc>
          <w:tcPr/>
          <w:p>
            <w:pPr>
              <w:pStyle w:val="Normal"/>
              <w:jc w:val="left"/>
              <w:spacing w:line="240" w:lineRule="auto" w:after="0"/>
            </w:pPr>
            <w:r>
              <w:rPr>
                <w:rFonts w:ascii="Times New Roman" w:hAnsi="Times New Roman" w:cs="Times New Roman" w:eastAsia="Times New Roman"/>
                <w:sz w:val="20"/>
                <w:szCs w:val="20"/>
              </w:rPr>
              <w:t xml:space="preserve">Randomized controlled trial</w:t>
            </w:r>
          </w:p>
        </w:tc>
      </w:tr>
      <w:tr>
        <w:tc>
          <w:tcPr/>
          <w:p>
            <w:pPr>
              <w:pStyle w:val="Normal"/>
              <w:jc w:val="left"/>
              <w:spacing w:line="240" w:lineRule="auto" w:after="0"/>
            </w:pPr>
            <w:r>
              <w:rPr>
                <w:rFonts w:ascii="Times New Roman" w:hAnsi="Times New Roman" w:cs="Times New Roman" w:eastAsia="Times New Roman"/>
                <w:sz w:val="20"/>
                <w:szCs w:val="20"/>
              </w:rPr>
              <w:t xml:space="preserve">TSA</w:t>
            </w:r>
          </w:p>
        </w:tc>
        <w:tc>
          <w:tcPr/>
          <w:p>
            <w:pPr>
              <w:pStyle w:val="Normal"/>
              <w:jc w:val="left"/>
              <w:spacing w:line="240" w:lineRule="auto" w:after="0"/>
            </w:pPr>
            <w:r>
              <w:rPr>
                <w:rFonts w:ascii="Times New Roman" w:hAnsi="Times New Roman" w:cs="Times New Roman" w:eastAsia="Times New Roman"/>
                <w:sz w:val="20"/>
                <w:szCs w:val="20"/>
              </w:rPr>
              <w:t xml:space="preserve">Trial sequential analysis</w:t>
            </w:r>
          </w:p>
        </w:tc>
      </w:tr>
    </w:tbl>
    <w:p>
      <w:pPr>
        <w:pStyle w:val="Heading2"/>
      </w:pPr>
      <w:r>
        <w:rPr>
          <w:rFonts w:ascii="Times New Roman" w:hAnsi="Times New Roman"/>
          <w:b/>
          <w:color w:val="000000"/>
          <w:sz w:val="24"/>
        </w:rPr>
        <w:t>1. Introduction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Evidence-based medicine places RCTs and their meta-analyses at the apex of the evidence hierarchy because randomization minimizes confounding and provides internally valid estimates of treatment effects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Nevertheless, meta-analyses of observational studies and RCTs frequently disagree: observational evidence may show statistically significant benefit while RCT evidence does not </w:t>
      </w:r>
      <w:r>
        <w:rPr>
          <w:rFonts w:ascii="Times New Roman" w:hAnsi="Times New Roman" w:cs="Times New Roman" w:eastAsia="Times New Roman"/>
          <w:sz w:val="24"/>
          <w:szCs w:val="24"/>
          <w:vertAlign w:val="superscript"/>
        </w:rPr>
        <w:t xml:space="preserve">[2-3]</w:t>
      </w:r>
      <w:r>
        <w:rPr>
          <w:rFonts w:ascii="Times New Roman" w:hAnsi="Times New Roman" w:cs="Times New Roman" w:eastAsia="Times New Roman"/>
          <w:sz w:val="24"/>
          <w:szCs w:val="24"/>
        </w:rPr>
        <w:t xml:space="preserve">. The conventional explanation invokes residual confounding, selection bias, or publication bias in observational data. While these sources of bias are real, they may not fully account for the discordance.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structural information loss</w:t>
      </w:r>
      <w:r>
        <w:rPr>
          <w:rFonts w:ascii="Times New Roman" w:hAnsi="Times New Roman" w:cs="Times New Roman" w:eastAsia="Times New Roman"/>
          <w:sz w:val="24"/>
          <w:szCs w:val="24"/>
        </w:rPr>
        <w:t xml:space="preserve">, a five-step causal chain: representativeness loss; event concentration in excluded populations; inadequate design compensation; systematic underpowering; and, ultimately, distorted recommendations when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no statistically significant difference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interpreted as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no effect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An alternative, structural explanation deserves systematic attention. RCT enrollment criteria, consent processes, and site selection progressively restrict the study population </w:t>
      </w:r>
      <w:r>
        <w:rPr>
          <w:rFonts w:ascii="Times New Roman" w:hAnsi="Times New Roman" w:cs="Times New Roman" w:eastAsia="Times New Roman"/>
          <w:sz w:val="24"/>
          <w:szCs w:val="24"/>
          <w:vertAlign w:val="superscript"/>
        </w:rPr>
        <w:t xml:space="preserve">[4-5]</w:t>
      </w:r>
      <w:r>
        <w:rPr>
          <w:rFonts w:ascii="Times New Roman" w:hAnsi="Times New Roman" w:cs="Times New Roman" w:eastAsia="Times New Roman"/>
          <w:sz w:val="24"/>
          <w:szCs w:val="24"/>
        </w:rPr>
        <w:t xml:space="preserve">. Because clinical events are concentrated in the highest-risk patients—those with comorbidities, advanced disease, or organ dysfunction—their exclusion lowers event rates in the enrolled cohort. If trial protocols do not compensate by increasing sample size, extending follow-up, or enriching high-risk enrollment, the resulting evidence base can become informationally insufficient. We term this phenomenon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concepts of optimal information size (OIS) and trial sequential analysis (TSA) provide partial remedies. OIS recognizes that meta-analyses, like individual trials, require a minimum information size to reach reliable conclusions </w:t>
      </w:r>
      <w:r>
        <w:rPr>
          <w:rFonts w:ascii="Times New Roman" w:hAnsi="Times New Roman" w:cs="Times New Roman" w:eastAsia="Times New Roman"/>
          <w:sz w:val="24"/>
          <w:szCs w:val="24"/>
          <w:vertAlign w:val="superscript"/>
        </w:rPr>
        <w:t xml:space="preserve">[6-7]</w:t>
      </w:r>
      <w:r>
        <w:rPr>
          <w:rFonts w:ascii="Times New Roman" w:hAnsi="Times New Roman" w:cs="Times New Roman" w:eastAsia="Times New Roman"/>
          <w:sz w:val="24"/>
          <w:szCs w:val="24"/>
        </w:rPr>
        <w:t xml:space="preserve">. TSA applies sequential monitoring boundaries to cumulative meta-analysis, distinguishing evidence of no effect (futility boundary crossed) from no evidence of effect (boundary not crossed) </w:t>
      </w:r>
      <w:r>
        <w:rPr>
          <w:rFonts w:ascii="Times New Roman" w:hAnsi="Times New Roman" w:cs="Times New Roman" w:eastAsia="Times New Roman"/>
          <w:sz w:val="24"/>
          <w:szCs w:val="24"/>
          <w:vertAlign w:val="superscript"/>
        </w:rPr>
        <w:t xml:space="preserve">[8-9]</w:t>
      </w:r>
      <w:r>
        <w:rPr>
          <w:rFonts w:ascii="Times New Roman" w:hAnsi="Times New Roman" w:cs="Times New Roman" w:eastAsia="Times New Roman"/>
          <w:sz w:val="24"/>
          <w:szCs w:val="24"/>
        </w:rPr>
        <w:t xml:space="preserve">. However, these tools are underused in guideline development, and neither directly quantifies the information loss attributable to enrollment-driven risk-profile shifts.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 number of trial design strategies can mitigate event dilution (Table 1), including stratified randomization, prognostic enrichment, event-driven designs, adaptive sample-size re-estimation, and pragmatic or registry-based trials. Existing approaches address these issues separately; to our knowledge, no widely adopted framework tightly links prospective power assessment, retrospective diagnostic evaluation, and structured evidence interpretation in a single reproducible workflow for completed or planned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therefore developed the Knowledge-driven Observational-Trial Harmonization Approach (KOTHA) Framework. It is a three-module system that (1) diagnoses structural information loss through counterfactual power simulation (Module K), (2) integrates discordant evidence through hierarchical Bayesian meta-analysis (Module T), and (3) translates quantitative findings into GRADE-compatible evidence assessment (Module H). This paper describes the framework and illustrates its application to two canonical cases of observational-RCT divergence, with an emphasis on implications for clinical trial design.</w:t>
      </w:r>
    </w:p>
    <w:p>
      <w:r>
        <w:rPr>
          <w:rFonts w:ascii="Times New Roman" w:hAnsi="Times New Roman"/>
          <w:b/>
          <w:i w:val="0"/>
          <w:sz w:val="24"/>
        </w:rPr>
        <w:t>Table 1: Existing approaches to mitigate event dilution in RCTs</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2640"/>
        <w:gridCol w:w="2640"/>
        <w:gridCol w:w="264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Approach</w:t>
            </w:r>
          </w:p>
        </w:tc>
        <w:tc>
          <w:tcPr/>
          <w:p>
            <w:pPr>
              <w:pStyle w:val="Normal"/>
              <w:jc w:val="left"/>
              <w:spacing w:line="240" w:lineRule="auto" w:after="0"/>
            </w:pPr>
            <w:r>
              <w:rPr>
                <w:rFonts w:ascii="Times New Roman" w:hAnsi="Times New Roman" w:cs="Times New Roman" w:eastAsia="Times New Roman"/>
                <w:sz w:val="20"/>
                <w:szCs w:val="20"/>
                <w:b/>
              </w:rPr>
              <w:t xml:space="preserve">Mechanism</w:t>
            </w:r>
          </w:p>
        </w:tc>
        <w:tc>
          <w:tcPr/>
          <w:p>
            <w:pPr>
              <w:pStyle w:val="Normal"/>
              <w:jc w:val="left"/>
              <w:spacing w:line="240" w:lineRule="auto" w:after="0"/>
            </w:pPr>
            <w:r>
              <w:rPr>
                <w:rFonts w:ascii="Times New Roman" w:hAnsi="Times New Roman" w:cs="Times New Roman" w:eastAsia="Times New Roman"/>
                <w:sz w:val="20"/>
                <w:szCs w:val="20"/>
                <w:b/>
              </w:rPr>
              <w:t xml:space="preserve">Adoption level</w:t>
            </w:r>
          </w:p>
        </w:tc>
      </w:tr>
      <w:tr>
        <w:tc>
          <w:tcPr/>
          <w:p>
            <w:pPr>
              <w:pStyle w:val="Normal"/>
              <w:jc w:val="left"/>
              <w:spacing w:line="240" w:lineRule="auto" w:after="0"/>
            </w:pPr>
            <w:r>
              <w:rPr>
                <w:rFonts w:ascii="Times New Roman" w:hAnsi="Times New Roman" w:cs="Times New Roman" w:eastAsia="Times New Roman"/>
                <w:sz w:val="20"/>
                <w:szCs w:val="20"/>
              </w:rPr>
              <w:t xml:space="preserve">Stratified randomization</w:t>
            </w:r>
          </w:p>
        </w:tc>
        <w:tc>
          <w:tcPr/>
          <w:p>
            <w:pPr>
              <w:pStyle w:val="Normal"/>
              <w:jc w:val="left"/>
              <w:spacing w:line="240" w:lineRule="auto" w:after="0"/>
            </w:pPr>
            <w:r>
              <w:rPr>
                <w:rFonts w:ascii="Times New Roman" w:hAnsi="Times New Roman" w:cs="Times New Roman" w:eastAsia="Times New Roman"/>
                <w:sz w:val="20"/>
                <w:szCs w:val="20"/>
              </w:rPr>
              <w:t xml:space="preserve">Risk-based stratification of randomization and analysis</w:t>
            </w:r>
          </w:p>
        </w:tc>
        <w:tc>
          <w:tcPr/>
          <w:p>
            <w:pPr>
              <w:pStyle w:val="Normal"/>
              <w:jc w:val="left"/>
              <w:spacing w:line="240" w:lineRule="auto" w:after="0"/>
            </w:pPr>
            <w:r>
              <w:rPr>
                <w:rFonts w:ascii="Times New Roman" w:hAnsi="Times New Roman" w:cs="Times New Roman" w:eastAsia="Times New Roman"/>
                <w:sz w:val="20"/>
                <w:szCs w:val="20"/>
              </w:rPr>
              <w:t xml:space="preserve">Common for basic strata; rare for event-rate-driven strata</w:t>
            </w:r>
          </w:p>
        </w:tc>
      </w:tr>
      <w:tr>
        <w:tc>
          <w:tcPr/>
          <w:p>
            <w:pPr>
              <w:pStyle w:val="Normal"/>
              <w:jc w:val="left"/>
              <w:spacing w:line="240" w:lineRule="auto" w:after="0"/>
            </w:pPr>
            <w:r>
              <w:rPr>
                <w:rFonts w:ascii="Times New Roman" w:hAnsi="Times New Roman" w:cs="Times New Roman" w:eastAsia="Times New Roman"/>
                <w:sz w:val="20"/>
                <w:szCs w:val="20"/>
              </w:rPr>
              <w:t xml:space="preserve">Prognostic enrichment</w:t>
            </w:r>
          </w:p>
        </w:tc>
        <w:tc>
          <w:tcPr/>
          <w:p>
            <w:pPr>
              <w:pStyle w:val="Normal"/>
              <w:jc w:val="left"/>
              <w:spacing w:line="240" w:lineRule="auto" w:after="0"/>
            </w:pPr>
            <w:r>
              <w:rPr>
                <w:rFonts w:ascii="Times New Roman" w:hAnsi="Times New Roman" w:cs="Times New Roman" w:eastAsia="Times New Roman"/>
                <w:sz w:val="20"/>
                <w:szCs w:val="20"/>
              </w:rPr>
              <w:t xml:space="preserve">Intentional enrollment of high-risk patients to increase event rates</w:t>
            </w:r>
          </w:p>
        </w:tc>
        <w:tc>
          <w:tcPr/>
          <w:p>
            <w:pPr>
              <w:pStyle w:val="Normal"/>
              <w:jc w:val="left"/>
              <w:spacing w:line="240" w:lineRule="auto" w:after="0"/>
            </w:pPr>
            <w:r>
              <w:rPr>
                <w:rFonts w:ascii="Times New Roman" w:hAnsi="Times New Roman" w:cs="Times New Roman" w:eastAsia="Times New Roman"/>
                <w:sz w:val="20"/>
                <w:szCs w:val="20"/>
              </w:rPr>
              <w:t xml:space="preserve">Endorsed by FDA and EMA guidance; limited in non-drug trials</w:t>
            </w:r>
          </w:p>
        </w:tc>
      </w:tr>
      <w:tr>
        <w:tc>
          <w:tcPr/>
          <w:p>
            <w:pPr>
              <w:pStyle w:val="Normal"/>
              <w:jc w:val="left"/>
              <w:spacing w:line="240" w:lineRule="auto" w:after="0"/>
            </w:pPr>
            <w:r>
              <w:rPr>
                <w:rFonts w:ascii="Times New Roman" w:hAnsi="Times New Roman" w:cs="Times New Roman" w:eastAsia="Times New Roman"/>
                <w:sz w:val="20"/>
                <w:szCs w:val="20"/>
              </w:rPr>
              <w:t xml:space="preserve">Event-driven design</w:t>
            </w:r>
          </w:p>
        </w:tc>
        <w:tc>
          <w:tcPr/>
          <w:p>
            <w:pPr>
              <w:pStyle w:val="Normal"/>
              <w:jc w:val="left"/>
              <w:spacing w:line="240" w:lineRule="auto" w:after="0"/>
            </w:pPr>
            <w:r>
              <w:rPr>
                <w:rFonts w:ascii="Times New Roman" w:hAnsi="Times New Roman" w:cs="Times New Roman" w:eastAsia="Times New Roman"/>
                <w:sz w:val="20"/>
                <w:szCs w:val="20"/>
              </w:rPr>
              <w:t xml:space="preserve">Continue enrollment/follow-up until target event count is reached</w:t>
            </w:r>
          </w:p>
        </w:tc>
        <w:tc>
          <w:tcPr/>
          <w:p>
            <w:pPr>
              <w:pStyle w:val="Normal"/>
              <w:jc w:val="left"/>
              <w:spacing w:line="240" w:lineRule="auto" w:after="0"/>
            </w:pPr>
            <w:r>
              <w:rPr>
                <w:rFonts w:ascii="Times New Roman" w:hAnsi="Times New Roman" w:cs="Times New Roman" w:eastAsia="Times New Roman"/>
                <w:sz w:val="20"/>
                <w:szCs w:val="20"/>
              </w:rPr>
              <w:t xml:space="preserve">Common in cardiology and oncology; rare in other specialties</w:t>
            </w:r>
          </w:p>
        </w:tc>
      </w:tr>
      <w:tr>
        <w:tc>
          <w:tcPr/>
          <w:p>
            <w:pPr>
              <w:pStyle w:val="Normal"/>
              <w:jc w:val="left"/>
              <w:spacing w:line="240" w:lineRule="auto" w:after="0"/>
            </w:pPr>
            <w:r>
              <w:rPr>
                <w:rFonts w:ascii="Times New Roman" w:hAnsi="Times New Roman" w:cs="Times New Roman" w:eastAsia="Times New Roman"/>
                <w:sz w:val="20"/>
                <w:szCs w:val="20"/>
              </w:rPr>
              <w:t xml:space="preserve">Adaptive sample size re-estimation</w:t>
            </w:r>
          </w:p>
        </w:tc>
        <w:tc>
          <w:tcPr/>
          <w:p>
            <w:pPr>
              <w:pStyle w:val="Normal"/>
              <w:jc w:val="left"/>
              <w:spacing w:line="240" w:lineRule="auto" w:after="0"/>
            </w:pPr>
            <w:r>
              <w:rPr>
                <w:rFonts w:ascii="Times New Roman" w:hAnsi="Times New Roman" w:cs="Times New Roman" w:eastAsia="Times New Roman"/>
                <w:sz w:val="20"/>
                <w:szCs w:val="20"/>
              </w:rPr>
              <w:t xml:space="preserve">Mid-trial re-estimation of required sample size based on observed event rates</w:t>
            </w:r>
          </w:p>
        </w:tc>
        <w:tc>
          <w:tcPr/>
          <w:p>
            <w:pPr>
              <w:pStyle w:val="Normal"/>
              <w:jc w:val="left"/>
              <w:spacing w:line="240" w:lineRule="auto" w:after="0"/>
            </w:pPr>
            <w:r>
              <w:rPr>
                <w:rFonts w:ascii="Times New Roman" w:hAnsi="Times New Roman" w:cs="Times New Roman" w:eastAsia="Times New Roman"/>
                <w:sz w:val="20"/>
                <w:szCs w:val="20"/>
              </w:rPr>
              <w:t xml:space="preserve">Statistically powerful; regulatory complexity limits adoption</w:t>
            </w:r>
          </w:p>
        </w:tc>
      </w:tr>
      <w:tr>
        <w:tc>
          <w:tcPr/>
          <w:p>
            <w:pPr>
              <w:pStyle w:val="Normal"/>
              <w:jc w:val="left"/>
              <w:spacing w:line="240" w:lineRule="auto" w:after="0"/>
            </w:pPr>
            <w:r>
              <w:rPr>
                <w:rFonts w:ascii="Times New Roman" w:hAnsi="Times New Roman" w:cs="Times New Roman" w:eastAsia="Times New Roman"/>
                <w:sz w:val="20"/>
                <w:szCs w:val="20"/>
              </w:rPr>
              <w:t xml:space="preserve">External data-informed design</w:t>
            </w:r>
          </w:p>
        </w:tc>
        <w:tc>
          <w:tcPr/>
          <w:p>
            <w:pPr>
              <w:pStyle w:val="Normal"/>
              <w:jc w:val="left"/>
              <w:spacing w:line="240" w:lineRule="auto" w:after="0"/>
            </w:pPr>
            <w:r>
              <w:rPr>
                <w:rFonts w:ascii="Times New Roman" w:hAnsi="Times New Roman" w:cs="Times New Roman" w:eastAsia="Times New Roman"/>
                <w:sz w:val="20"/>
                <w:szCs w:val="20"/>
              </w:rPr>
              <w:t xml:space="preserve">Use retrospective data to quantify expected event loss and adjust design</w:t>
            </w:r>
          </w:p>
        </w:tc>
        <w:tc>
          <w:tcPr/>
          <w:p>
            <w:pPr>
              <w:pStyle w:val="Normal"/>
              <w:jc w:val="left"/>
              <w:spacing w:line="240" w:lineRule="auto" w:after="0"/>
            </w:pPr>
            <w:r>
              <w:rPr>
                <w:rFonts w:ascii="Times New Roman" w:hAnsi="Times New Roman" w:cs="Times New Roman" w:eastAsia="Times New Roman"/>
                <w:sz w:val="20"/>
                <w:szCs w:val="20"/>
              </w:rPr>
              <w:t xml:space="preserve">Ideal but very rare in practice</w:t>
            </w:r>
          </w:p>
        </w:tc>
      </w:tr>
      <w:tr>
        <w:tc>
          <w:tcPr/>
          <w:p>
            <w:pPr>
              <w:pStyle w:val="Normal"/>
              <w:jc w:val="left"/>
              <w:spacing w:line="240" w:lineRule="auto" w:after="0"/>
            </w:pPr>
            <w:r>
              <w:rPr>
                <w:rFonts w:ascii="Times New Roman" w:hAnsi="Times New Roman" w:cs="Times New Roman" w:eastAsia="Times New Roman"/>
                <w:sz w:val="20"/>
                <w:szCs w:val="20"/>
              </w:rPr>
              <w:t xml:space="preserve">Pragmatic / registry-based trials</w:t>
            </w:r>
          </w:p>
        </w:tc>
        <w:tc>
          <w:tcPr/>
          <w:p>
            <w:pPr>
              <w:pStyle w:val="Normal"/>
              <w:jc w:val="left"/>
              <w:spacing w:line="240" w:lineRule="auto" w:after="0"/>
            </w:pPr>
            <w:r>
              <w:rPr>
                <w:rFonts w:ascii="Times New Roman" w:hAnsi="Times New Roman" w:cs="Times New Roman" w:eastAsia="Times New Roman"/>
                <w:sz w:val="20"/>
                <w:szCs w:val="20"/>
              </w:rPr>
              <w:t xml:space="preserve">Broad eligibility, minimal exclusions, real-world enrollment</w:t>
            </w:r>
          </w:p>
        </w:tc>
        <w:tc>
          <w:tcPr/>
          <w:p>
            <w:pPr>
              <w:pStyle w:val="Normal"/>
              <w:jc w:val="left"/>
              <w:spacing w:line="240" w:lineRule="auto" w:after="0"/>
            </w:pPr>
            <w:r>
              <w:rPr>
                <w:rFonts w:ascii="Times New Roman" w:hAnsi="Times New Roman" w:cs="Times New Roman" w:eastAsia="Times New Roman"/>
                <w:sz w:val="20"/>
                <w:szCs w:val="20"/>
              </w:rPr>
              <w:t xml:space="preserve">Growing (e.g., REMAP-CAP, RECOVERY) but not yet standard</w:t>
            </w:r>
          </w:p>
        </w:tc>
      </w:tr>
    </w:tbl>
    <w:p>
      <w:pPr>
        <w:pStyle w:val="Heading2"/>
      </w:pPr>
      <w:r>
        <w:rPr>
          <w:rFonts w:ascii="Times New Roman" w:hAnsi="Times New Roman"/>
          <w:b/>
          <w:color w:val="000000"/>
          <w:sz w:val="24"/>
        </w:rPr>
        <w:t>2. Methods</w:t>
      </w:r>
    </w:p>
    <w:p>
      <w:pPr>
        <w:pStyle w:val="Heading3"/>
      </w:pPr>
      <w:r>
        <w:rPr>
          <w:rFonts w:ascii="Times New Roman" w:hAnsi="Times New Roman"/>
          <w:b/>
          <w:color w:val="000000"/>
          <w:sz w:val="24"/>
        </w:rPr>
        <w:t>Overview</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comprises three interconnected modules (Fig. 1). Module K (Counterfactual Power Simulation) quantifies how enrollment-driven risk-profile shifts reduce statistical power. Module T (Trial-Observational Bayesian Integration) combines RCT and observational evidence with explicit discounting for design-related bias. Module H (Guideline Interpreter) translates module outputs into a structured GRADE assessment. Each module can be used independently, but the framework is most informative when applied in sequence.</w:t>
      </w:r>
    </w:p>
    <w:p>
      <w:pPr>
        <w:pStyle w:val="Heading3"/>
      </w:pPr>
      <w:r>
        <w:rPr>
          <w:rFonts w:ascii="Times New Roman" w:hAnsi="Times New Roman"/>
          <w:b/>
          <w:color w:val="000000"/>
          <w:sz w:val="24"/>
        </w:rPr>
        <w:t>Module K: 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asks: if the RCTs in a meta-analysis had enrolled patients with the risk profile of the real-world target population, would the combined evidence have been sufficient to detect the effect suggested by observational studies? The simulation component follows the ADEMP reporting structure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 aims (quantify information loss from enrollment-driven risk-profile shifts), data-generating process (published aggregate event counts and sample sizes), estimands (counterfactual power under S1-S3), methods (Schoenfeld approximation with proportional-hazards data handled via the log-HR/log-OR equivalence under rare events), and performance measures (power across a grid of true effects and required sample size).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define three enrollment scenarios: S1 (real-world target population, approximated by a representative retrospective cohort or published aggregate event rates); S2 (RCT-enrolled equivalent, defined by applying published eligibility criteria to the retrospective cohort or using observed RCT event rates); and S3 (design-optimized, incorporating prognostic enrichment).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each scenario, we compute the expected control event rate</w:t>
      </w:r>
      <w:r>
        <w:rPr>
          <w:rFonts w:ascii="Times New Roman" w:hAnsi="Times New Roman" w:cs="Times New Roman" w:eastAsia="Times New Roman"/>
          <w:sz w:val="24"/>
          <w:szCs w:val="24"/>
        </w:rPr>
        <w:t xml:space="preserve"> </w:t>
      </w:r>
      <m:oMath>
        <m:sSub>
          <m:e>
            <m:r>
              <m:t>p</m:t>
            </m:r>
          </m:e>
          <m:sub>
            <m:r>
              <m:t>c</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treatment event rate</w:t>
      </w:r>
      <w:r>
        <w:rPr>
          <w:rFonts w:ascii="Times New Roman" w:hAnsi="Times New Roman" w:cs="Times New Roman" w:eastAsia="Times New Roman"/>
          <w:sz w:val="24"/>
          <w:szCs w:val="24"/>
        </w:rPr>
        <w:t xml:space="preserve"> </w:t>
      </w:r>
      <m:oMath>
        <m:sSub>
          <m:e>
            <m:r>
              <m:t>p</m:t>
            </m:r>
          </m:e>
          <m:sub>
            <m:r>
              <m:t>t</m:t>
            </m:r>
          </m:sub>
        </m:sSub>
        <m:r>
          <m:rPr>
            <m:sty m:val="p"/>
          </m:rPr>
          <m:t>=</m:t>
        </m:r>
        <m:d>
          <m:dPr>
            <m:begChr m:val="("/>
            <m:endChr m:val=")"/>
            <m:sepChr m:val=""/>
            <m:grow/>
          </m:dPr>
          <m:e>
            <m:sSub>
              <m:e>
                <m:r>
                  <m:t>p</m:t>
                </m:r>
              </m:e>
              <m:sub>
                <m:r>
                  <m:t>c</m:t>
                </m:r>
              </m:sub>
            </m:sSub>
            <m:r>
              <m:rPr>
                <m:sty m:val="p"/>
              </m:rPr>
              <m:t>⋅</m:t>
            </m:r>
            <m:r>
              <m:rPr>
                <m:nor/>
                <m:sty m:val="p"/>
              </m:rPr>
              <m:t>OR</m:t>
            </m:r>
          </m:e>
        </m:d>
        <m:r>
          <m:rPr>
            <m:sty m:val="p"/>
          </m:rPr>
          <m:t>/</m:t>
        </m:r>
        <m:d>
          <m:dPr>
            <m:begChr m:val="("/>
            <m:endChr m:val=")"/>
            <m:sepChr m:val=""/>
            <m:grow/>
          </m:dPr>
          <m:e>
            <m:r>
              <m:t>1</m:t>
            </m:r>
            <m:r>
              <m:rPr>
                <m:sty m:val="p"/>
              </m:rPr>
              <m:t>−</m:t>
            </m:r>
            <m:sSub>
              <m:e>
                <m:r>
                  <m:t>p</m:t>
                </m:r>
              </m:e>
              <m:sub>
                <m:r>
                  <m:t>c</m:t>
                </m:r>
              </m:sub>
            </m:sSub>
            <m:r>
              <m:rPr>
                <m:sty m:val="p"/>
              </m:rPr>
              <m:t>+</m:t>
            </m:r>
            <m:sSub>
              <m:e>
                <m:r>
                  <m:t>p</m:t>
                </m:r>
              </m:e>
              <m:sub>
                <m:r>
                  <m:t>c</m:t>
                </m:r>
              </m:sub>
            </m:sSub>
            <m:r>
              <m:rPr>
                <m:sty m:val="p"/>
              </m:rPr>
              <m:t>⋅</m:t>
            </m:r>
            <m:r>
              <m:rPr>
                <m:nor/>
                <m:sty m:val="p"/>
              </m:rPr>
              <m:t>OR</m:t>
            </m:r>
          </m:e>
        </m:d>
      </m:oMath>
      <w:r>
        <w:rPr>
          <w:rFonts w:ascii="Times New Roman" w:hAnsi="Times New Roman" w:cs="Times New Roman" w:eastAsia="Times New Roman"/>
          <w:sz w:val="24"/>
          <w:szCs w:val="24"/>
        </w:rPr>
        <w:t xml:space="preserve">. The total expected number of events is</w:t>
      </w:r>
      <w:r>
        <w:rPr>
          <w:rFonts w:ascii="Times New Roman" w:hAnsi="Times New Roman" w:cs="Times New Roman" w:eastAsia="Times New Roman"/>
          <w:sz w:val="24"/>
          <w:szCs w:val="24"/>
        </w:rPr>
        <w:t xml:space="preserve"> </w:t>
      </w:r>
      <m:oMath>
        <m:r>
          <m:t>D</m:t>
        </m:r>
        <m:r>
          <m:rPr>
            <m:sty m:val="p"/>
          </m:rPr>
          <m:t>=</m:t>
        </m:r>
        <m:r>
          <m:t>N</m:t>
        </m:r>
        <m:d>
          <m:dPr>
            <m:begChr m:val="("/>
            <m:endChr m:val=")"/>
            <m:sepChr m:val=""/>
            <m:grow/>
          </m:dPr>
          <m:e>
            <m:sSub>
              <m:e>
                <m:r>
                  <m:t>p</m:t>
                </m:r>
              </m:e>
              <m:sub>
                <m:r>
                  <m:t>c</m:t>
                </m:r>
              </m:sub>
            </m:sSub>
            <m:r>
              <m:rPr>
                <m:sty m:val="p"/>
              </m:rPr>
              <m:t>+</m:t>
            </m:r>
            <m:sSub>
              <m:e>
                <m:r>
                  <m:t>p</m:t>
                </m:r>
              </m:e>
              <m:sub>
                <m:r>
                  <m:t>t</m:t>
                </m:r>
              </m:sub>
            </m:sSub>
          </m:e>
        </m:d>
        <m:r>
          <m:rPr>
            <m:sty m:val="p"/>
          </m:rPr>
          <m:t>/</m:t>
        </m:r>
        <m:r>
          <m:t>2</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 trial of</w:t>
      </w:r>
      <w:r>
        <w:rPr>
          <w:rFonts w:ascii="Times New Roman" w:hAnsi="Times New Roman" w:cs="Times New Roman" w:eastAsia="Times New Roman"/>
          <w:sz w:val="24"/>
          <w:szCs w:val="24"/>
        </w:rPr>
        <w:t xml:space="preserve"> </w:t>
      </w:r>
      <m:oMath>
        <m:r>
          <m:t>N</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2</m:t>
        </m:r>
        <m:r>
          <m:rPr>
            <m:sty m:val="p"/>
          </m:rPr>
          <m:t>/</m:t>
        </m:r>
        <m:rad>
          <m:radPr>
            <m:degHide m:val="on"/>
          </m:radPr>
          <m:deg/>
          <m:e>
            <m:r>
              <m:t>D</m:t>
            </m:r>
          </m:e>
        </m:rad>
      </m:oMath>
      <w:r>
        <w:rPr>
          <w:rFonts w:ascii="Times New Roman" w:hAnsi="Times New Roman" w:cs="Times New Roman" w:eastAsia="Times New Roman"/>
          <w:sz w:val="24"/>
          <w:szCs w:val="24"/>
        </w:rPr>
        <w:t xml:space="preserve">, yielding the power function</w:t>
      </w:r>
      <w:r>
        <w:rPr>
          <w:rFonts w:ascii="Times New Roman" w:hAnsi="Times New Roman" w:cs="Times New Roman" w:eastAsia="Times New Roman"/>
          <w:sz w:val="24"/>
          <w:szCs w:val="24"/>
        </w:rPr>
        <w:t xml:space="preserve">patients randomized 1:1. Under the Schoenfeld approximation </w:t>
      </w:r>
      <w:r>
        <w:rPr>
          <w:rFonts w:ascii="Times New Roman" w:hAnsi="Times New Roman" w:cs="Times New Roman" w:eastAsia="Times New Roman"/>
          <w:sz w:val="24"/>
          <w:szCs w:val="24"/>
          <w:vertAlign w:val="superscript"/>
        </w:rPr>
        <w:t xml:space="preserve">[11]</w:t>
      </w:r>
      <w:r>
        <w:rPr>
          <w:rFonts w:ascii="Times New Roman" w:hAnsi="Times New Roman" w:cs="Times New Roman" w:eastAsia="Times New Roman"/>
          <w:sz w:val="24"/>
          <w:szCs w:val="24"/>
        </w:rPr>
        <w:t xml:space="preserve">, the standard error of the log relative effect (log-OR or log-HR under proportional hazards) is approximately</w:t>
      </w:r>
    </w:p>
    <w:p xmlns:a="http://schemas.openxmlformats.org/drawingml/2006/main" xmlns:pic="http://schemas.openxmlformats.org/drawingml/2006/picture">
      <w:pPr>
        <w:pStyle w:val="Normal"/>
        <w:jc w:val="center"/>
        <w:spacing w:line="480" w:lineRule="auto" w:after="120"/>
      </w:pPr>
      <m:oMathPara>
        <m:oMathParaPr>
          <m:jc m:val="center"/>
        </m:oMathParaPr>
        <m:oMath>
          <m:r>
            <m:rPr>
              <m:nor/>
              <m:sty m:val="p"/>
            </m:rPr>
            <m:t>Power</m:t>
          </m:r>
          <m:r>
            <m:rPr>
              <m:sty m:val="p"/>
            </m:rPr>
            <m:t>=</m:t>
          </m:r>
          <m:r>
            <m:t>Φ</m:t>
          </m:r>
          <m:d>
            <m:dPr>
              <m:begChr m:val="("/>
              <m:endChr m:val=")"/>
              <m:sepChr m:val=""/>
              <m:grow/>
            </m:dPr>
            <m:e>
              <m:d>
                <m:dPr>
                  <m:begChr m:val="|"/>
                  <m:endChr m:val="|"/>
                  <m:sepChr m:val=""/>
                  <m:grow/>
                </m:dPr>
                <m:e>
                  <m:r>
                    <m:rPr>
                      <m:sty m:val="p"/>
                    </m:rPr>
                    <m:t>log</m:t>
                  </m:r>
                  <m:d>
                    <m:dPr>
                      <m:begChr m:val="("/>
                      <m:endChr m:val=")"/>
                      <m:sepChr m:val=""/>
                      <m:grow/>
                    </m:dPr>
                    <m:e>
                      <m:r>
                        <m:rPr>
                          <m:nor/>
                          <m:sty m:val="p"/>
                        </m:rPr>
                        <m:t>OR or HR</m:t>
                      </m:r>
                    </m:e>
                  </m:d>
                </m:e>
              </m:d>
              <m:r>
                <m:rPr>
                  <m:sty m:val="p"/>
                </m:rPr>
                <m:t>⋅</m:t>
              </m:r>
              <m:rad>
                <m:radPr>
                  <m:degHide m:val="on"/>
                </m:radPr>
                <m:deg/>
                <m:e>
                  <m:r>
                    <m:t>D</m:t>
                  </m:r>
                </m:e>
              </m:rad>
              <m:r>
                <m:rPr>
                  <m:sty m:val="p"/>
                </m:rPr>
                <m:t>/</m:t>
              </m:r>
              <m:r>
                <m:t>2</m:t>
              </m:r>
              <m:r>
                <m:rPr>
                  <m:sty m:val="p"/>
                </m:rPr>
                <m:t>−</m:t>
              </m:r>
              <m:sSub>
                <m:e>
                  <m:r>
                    <m:t>z</m:t>
                  </m:r>
                </m:e>
                <m:sub>
                  <m:r>
                    <m:t>α</m:t>
                  </m:r>
                  <m:r>
                    <m:rPr>
                      <m:sty m:val="p"/>
                    </m:rPr>
                    <m:t>/</m:t>
                  </m:r>
                  <m:r>
                    <m:t>2</m:t>
                  </m:r>
                </m:sub>
              </m:sSub>
            </m:e>
          </m:d>
        </m:oMath>
      </m:oMathPara>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where</w:t>
      </w:r>
      <w:r>
        <w:rPr>
          <w:rFonts w:ascii="Times New Roman" w:hAnsi="Times New Roman" w:cs="Times New Roman" w:eastAsia="Times New Roman"/>
          <w:sz w:val="24"/>
          <w:szCs w:val="24"/>
        </w:rPr>
        <w:t xml:space="preserve"> </w:t>
      </w:r>
      <m:oMath>
        <m:r>
          <m:t>Φ</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standard normal cumulative distribution function. The ratio</w:t>
      </w:r>
      <w:r>
        <w:rPr>
          <w:rFonts w:ascii="Times New Roman" w:hAnsi="Times New Roman" w:cs="Times New Roman" w:eastAsia="Times New Roman"/>
          <w:sz w:val="24"/>
          <w:szCs w:val="24"/>
        </w:rPr>
        <w:t xml:space="preserve"> </w:t>
      </w:r>
      <m:oMath>
        <m:r>
          <m:t>ρ</m:t>
        </m:r>
        <m:r>
          <m:rPr>
            <m:sty m:val="p"/>
          </m:rPr>
          <m:t>=</m:t>
        </m:r>
        <m:sSubSup>
          <m:e>
            <m:r>
              <m:t>p</m:t>
            </m:r>
          </m:e>
          <m:sub>
            <m:r>
              <m:t>c</m:t>
            </m:r>
          </m:sub>
          <m:sup>
            <m:d>
              <m:dPr>
                <m:begChr m:val="("/>
                <m:endChr m:val=")"/>
                <m:sepChr m:val=""/>
                <m:grow/>
              </m:dPr>
              <m:e>
                <m:r>
                  <m:t>S</m:t>
                </m:r>
                <m:r>
                  <m:t>2</m:t>
                </m:r>
              </m:e>
            </m:d>
          </m:sup>
        </m:sSubSup>
        <m:r>
          <m:rPr>
            <m:sty m:val="p"/>
          </m:rPr>
          <m:t>/</m:t>
        </m:r>
        <m:sSubSup>
          <m:e>
            <m:r>
              <m:t>p</m:t>
            </m:r>
          </m:e>
          <m:sub>
            <m:r>
              <m:t>c</m:t>
            </m:r>
          </m:sub>
          <m:sup>
            <m:d>
              <m:dPr>
                <m:begChr m:val="("/>
                <m:endChr m:val=")"/>
                <m:sepChr m:val=""/>
                <m:grow/>
              </m:dPr>
              <m:e>
                <m:r>
                  <m:t>S</m:t>
                </m:r>
                <m:r>
                  <m:t>1</m:t>
                </m:r>
              </m:e>
            </m:d>
          </m:sup>
        </m:sSub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quantifies event dilution. Module K reports power across a grid of assumed true effects and computes the sample size required to reach 80% power under each scenario. For the statins case, which reports hazard ratios, the hazard ratio is approximated by an odds ratio under the rare-event assumption and crude control event proportions derived from the aggregate data are used as approximate event probabilities; this comparison is intended to illustrate the relative power loss across enrollment scenarios rather than to provide exact sample-size estimates for a specific follow-up duration.</w:t>
      </w:r>
    </w:p>
    <w:p>
      <w:pPr>
        <w:pStyle w:val="Heading3"/>
      </w:pPr>
      <w:r>
        <w:rPr>
          <w:rFonts w:ascii="Times New Roman" w:hAnsi="Times New Roman"/>
          <w:b/>
          <w:color w:val="000000"/>
          <w:sz w:val="24"/>
        </w:rPr>
        <w:t>Module T: Hierarchical Bayesian evidence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When Module K indicates that RCT evidence is informationally insufficient, Module T combines RCT and observational evidence while discounting the observational likelihood for potential design-specific bias. Let</w:t>
      </w:r>
      <w:r>
        <w:rPr>
          <w:rFonts w:ascii="Times New Roman" w:hAnsi="Times New Roman" w:cs="Times New Roman" w:eastAsia="Times New Roman"/>
          <w:sz w:val="24"/>
          <w:szCs w:val="24"/>
        </w:rPr>
        <w:t xml:space="preserve"> </w:t>
      </w:r>
      <m:oMath>
        <m:sSub>
          <m:e>
            <m:r>
              <m:t>y</m:t>
            </m:r>
          </m:e>
          <m:sub>
            <m:r>
              <m:t>i</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reported log effect size from study</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standard error</w:t>
      </w:r>
      <w:r>
        <w:rPr>
          <w:rFonts w:ascii="Times New Roman" w:hAnsi="Times New Roman" w:cs="Times New Roman" w:eastAsia="Times New Roman"/>
          <w:sz w:val="24"/>
          <w:szCs w:val="24"/>
        </w:rPr>
        <w:t xml:space="preserve"> </w:t>
      </w:r>
      <m:oMath>
        <m:sSub>
          <m:e>
            <m:r>
              <m:t>s</m:t>
            </m:r>
          </m:e>
          <m:sub>
            <m:r>
              <m:t>i</m:t>
            </m:r>
          </m:sub>
        </m:sSub>
      </m:oMath>
      <w:r>
        <w:rPr>
          <w:rFonts w:ascii="Times New Roman" w:hAnsi="Times New Roman" w:cs="Times New Roman" w:eastAsia="Times New Roman"/>
          <w:sz w:val="24"/>
          <w:szCs w:val="24"/>
        </w:rPr>
        <w:t xml:space="preserve">. The RCT evidence contributes its full likelihood; the observational evidence contributes a power-prior-discounted likelihood with factor</w:t>
      </w:r>
      <w:r>
        <w:rPr>
          <w:rFonts w:ascii="Times New Roman" w:hAnsi="Times New Roman" w:cs="Times New Roman" w:eastAsia="Times New Roman"/>
          <w:sz w:val="24"/>
          <w:szCs w:val="24"/>
        </w:rPr>
        <w:t xml:space="preserve"> </w:t>
      </w:r>
      <m:oMath>
        <m:r>
          <m:t>α</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r>
          <m:rPr>
            <m:sty m:val="p"/>
          </m:rPr>
          <m: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retains only RCTs and</w:t>
      </w:r>
      <w:r>
        <w:rPr>
          <w:rFonts w:ascii="Times New Roman" w:hAnsi="Times New Roman" w:cs="Times New Roman" w:eastAsia="Times New Roman"/>
          <w:sz w:val="24"/>
          <w:szCs w:val="24"/>
        </w:rPr>
        <w:t xml:space="preserve"> </w:t>
      </w:r>
      <m:oMath>
        <m:r>
          <m:t>α</m:t>
        </m:r>
        <m:r>
          <m:rPr>
            <m:sty m:val="p"/>
          </m:rPr>
          <m:t>=</m:t>
        </m:r>
        <m:r>
          <m:t>1</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observational data full weight. Between-study heterogeneity is modeled with a random-effects distribution</w:t>
      </w:r>
      <w:r>
        <w:rPr>
          <w:rFonts w:ascii="Times New Roman" w:hAnsi="Times New Roman" w:cs="Times New Roman" w:eastAsia="Times New Roman"/>
          <w:sz w:val="24"/>
          <w:szCs w:val="24"/>
        </w:rPr>
        <w:t xml:space="preserve"> </w:t>
      </w:r>
      <m:oMath>
        <m:sSub>
          <m:e>
            <m:r>
              <m:t>u</m:t>
            </m:r>
          </m:e>
          <m:sub>
            <m:r>
              <m:t>i</m:t>
            </m:r>
          </m:sub>
        </m:sSub>
        <m:r>
          <m:rPr>
            <m:sty m:val="p"/>
          </m:rPr>
          <m:t>∼</m:t>
        </m:r>
        <m:r>
          <m:rPr>
            <m:nor/>
            <m:sty m:val="p"/>
          </m:rPr>
          <m:t>Normal</m:t>
        </m:r>
        <m:d>
          <m:dPr>
            <m:begChr m:val="("/>
            <m:endChr m:val=")"/>
            <m:sepChr m:val=""/>
            <m:grow/>
          </m:dPr>
          <m:e>
            <m:r>
              <m:t>0</m:t>
            </m:r>
            <m:r>
              <m:rPr>
                <m:sty m:val="p"/>
              </m:rPr>
              <m:t>,</m:t>
            </m:r>
            <m:sSup>
              <m:e>
                <m:r>
                  <m:t>τ</m:t>
                </m:r>
              </m:e>
              <m:sup>
                <m:r>
                  <m:t>2</m:t>
                </m:r>
              </m:sup>
            </m:sSup>
          </m:e>
        </m:d>
      </m:oMath>
      <w:r>
        <w:rPr>
          <w:rFonts w:ascii="Times New Roman" w:hAnsi="Times New Roman" w:cs="Times New Roman" w:eastAsia="Times New Roman"/>
          <w:sz w:val="24"/>
          <w:szCs w:val="24"/>
        </w:rPr>
        <w:t xml:space="preserve">. We used weakly informative priors</w:t>
      </w:r>
      <w:r>
        <w:rPr>
          <w:rFonts w:ascii="Times New Roman" w:hAnsi="Times New Roman" w:cs="Times New Roman" w:eastAsia="Times New Roman"/>
          <w:sz w:val="24"/>
          <w:szCs w:val="24"/>
        </w:rPr>
        <w:t xml:space="preserve"> </w:t>
      </w:r>
      <m:oMath>
        <m:r>
          <m:t>μ</m:t>
        </m:r>
        <m:r>
          <m:rPr>
            <m:sty m:val="p"/>
          </m:rPr>
          <m:t>∼</m:t>
        </m:r>
        <m:r>
          <m:t>N</m:t>
        </m:r>
        <m:d>
          <m:dPr>
            <m:begChr m:val="("/>
            <m:endChr m:val=")"/>
            <m:sepChr m:val=""/>
            <m:grow/>
          </m:dPr>
          <m:e>
            <m:r>
              <m:t>0</m:t>
            </m:r>
            <m:r>
              <m:rPr>
                <m:sty m:val="p"/>
              </m:rPr>
              <m:t>,</m:t>
            </m:r>
            <m:sSup>
              <m:e>
                <m:r>
                  <m:t>10</m:t>
                </m:r>
              </m:e>
              <m:sup>
                <m:r>
                  <m:t>2</m:t>
                </m:r>
              </m:sup>
            </m:s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population mean log effect and</w:t>
      </w:r>
      <w:r>
        <w:rPr>
          <w:rFonts w:ascii="Times New Roman" w:hAnsi="Times New Roman" w:cs="Times New Roman" w:eastAsia="Times New Roman"/>
          <w:sz w:val="24"/>
          <w:szCs w:val="24"/>
        </w:rPr>
        <w:t xml:space="preserve"> </w:t>
      </w:r>
      <m:oMath>
        <m:r>
          <m:t>τ</m:t>
        </m:r>
        <m:r>
          <m:rPr>
            <m:sty m:val="p"/>
          </m:rPr>
          <m:t>∼</m:t>
        </m:r>
        <m:r>
          <m:rPr>
            <m:nor/>
            <m:sty m:val="p"/>
          </m:rPr>
          <m:t>Half-Cauchy</m:t>
        </m:r>
        <m:d>
          <m:dPr>
            <m:begChr m:val="("/>
            <m:endChr m:val=")"/>
            <m:sepChr m:val=""/>
            <m:grow/>
          </m:dPr>
          <m:e>
            <m:r>
              <m:t>0</m:t>
            </m:r>
            <m:r>
              <m:rPr>
                <m:sty m:val="p"/>
              </m:rPr>
              <m:t>,</m:t>
            </m:r>
            <m:r>
              <m:t>0.5</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between-study standard deviation, with</w:t>
      </w:r>
      <w:r>
        <w:rPr>
          <w:rFonts w:ascii="Times New Roman" w:hAnsi="Times New Roman" w:cs="Times New Roman" w:eastAsia="Times New Roman"/>
          <w:sz w:val="24"/>
          <w:szCs w:val="24"/>
        </w:rPr>
        <w:t xml:space="preserve"> </w:t>
      </w:r>
      <m:oMath>
        <m:r>
          <m:t>τ</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bounded between</w:t>
      </w:r>
      <w:r>
        <w:rPr>
          <w:rFonts w:ascii="Times New Roman" w:hAnsi="Times New Roman" w:cs="Times New Roman" w:eastAsia="Times New Roman"/>
          <w:sz w:val="24"/>
          <w:szCs w:val="24"/>
        </w:rPr>
        <w:t xml:space="preserve"> </w:t>
      </w:r>
      <m:oMath>
        <m:sSup>
          <m:e>
            <m:r>
              <m:t>10</m:t>
            </m:r>
          </m:e>
          <m:sup>
            <m:r>
              <m:rPr>
                <m:sty m:val="p"/>
              </m:rPr>
              <m:t>−</m:t>
            </m:r>
            <m:r>
              <m:t>9</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m:oMath>
        <m:r>
          <m:t>100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w:t>
      </w:r>
      <w:r>
        <w:rPr>
          <w:rFonts w:ascii="Times New Roman" w:hAnsi="Times New Roman" w:cs="Times New Roman" w:eastAsia="Times New Roman"/>
          <w:sz w:val="24"/>
          <w:szCs w:val="24"/>
        </w:rPr>
        <w:t xml:space="preserve"> </w:t>
      </w:r>
      <m:oMath>
        <m:d>
          <m:dPr>
            <m:begChr m:val="("/>
            <m:endChr m:val=")"/>
            <m:sepChr m:val=""/>
            <m:grow/>
          </m:dPr>
          <m:e>
            <m:r>
              <m:t>0</m:t>
            </m:r>
            <m:r>
              <m:rPr>
                <m:sty m:val="p"/>
              </m:rPr>
              <m:t>,</m:t>
            </m:r>
            <m:r>
              <m:t>0.1</m:t>
            </m:r>
            <m:r>
              <m:rPr>
                <m:sty m:val="p"/>
              </m:rPr>
              <m:t>,</m:t>
            </m:r>
            <m:r>
              <m:t>0.2</m:t>
            </m:r>
            <m:r>
              <m:rPr>
                <m:sty m:val="p"/>
              </m:rPr>
              <m:t>,</m:t>
            </m:r>
            <m:r>
              <m:t>0.3</m:t>
            </m:r>
            <m:r>
              <m:rPr>
                <m:sty m:val="p"/>
              </m:rPr>
              <m:t>,</m:t>
            </m:r>
            <m:r>
              <m:t>0.5</m:t>
            </m:r>
            <m:r>
              <m:rPr>
                <m:sty m:val="p"/>
              </m:rPr>
              <m:t>,</m:t>
            </m:r>
            <m:r>
              <m:t>0.7</m:t>
            </m:r>
            <m:r>
              <m:rPr>
                <m:sty m:val="p"/>
              </m:rPr>
              <m:t>,</m:t>
            </m:r>
            <m:r>
              <m:t>1.0</m:t>
            </m:r>
          </m:e>
        </m:d>
      </m:oMath>
      <w:r>
        <w:rPr>
          <w:rFonts w:ascii="Times New Roman" w:hAnsi="Times New Roman" w:cs="Times New Roman" w:eastAsia="Times New Roman"/>
          <w:sz w:val="24"/>
          <w:szCs w:val="24"/>
        </w:rPr>
        <w:t xml:space="preserve">. Convergence was assessed with split-R-hat and effective sample size (ESS) for the population mean log effect and the between-study heterogeneity, using accepted thresholds (split-R-hat &lt; 1.05; ESS per parameter &gt; 400). Trace plots for selected chains are provided as Supplementary Figures S1a (magnesium) and S1b (statins) and showed no obvious non-stationarity. Across all discounting factors the minimum ESS was 972 and the maximum split-R-hat was 1.024, both satisfying the convergence criteria. We report the full grid to show sensitivity and use</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as an illustrative moderate-discounting value without claiming it is universally optimal.</w:t>
      </w:r>
      <w:r>
        <w:rPr>
          <w:rFonts w:ascii="Times New Roman" w:hAnsi="Times New Roman" w:cs="Times New Roman" w:eastAsia="Times New Roman"/>
          <w:sz w:val="24"/>
          <w:szCs w:val="24"/>
          <w:vertAlign w:val="superscript"/>
        </w:rPr>
        <w:t xml:space="preserve">[12]</w:t>
      </w:r>
      <w:r>
        <w:rPr>
          <w:rFonts w:ascii="Times New Roman" w:hAnsi="Times New Roman" w:cs="Times New Roman" w:eastAsia="Times New Roman"/>
          <w:sz w:val="24"/>
          <w:szCs w:val="24"/>
        </w:rPr>
        <w:t xml:space="preserve">, so that</w:t>
      </w:r>
      <w:r>
        <w:rPr>
          <w:rFonts w:ascii="Times New Roman" w:hAnsi="Times New Roman" w:cs="Times New Roman" w:eastAsia="Times New Roman"/>
          <w:sz w:val="24"/>
          <w:szCs w:val="24"/>
        </w:rPr>
        <w:t xml:space="preserve">for numerical stability. Alternative effect measures such as restricted mean survival time can be substituted when proportional-hazards assumptions are questionable </w:t>
      </w:r>
      <w:r>
        <w:rPr>
          <w:rFonts w:ascii="Times New Roman" w:hAnsi="Times New Roman" w:cs="Times New Roman" w:eastAsia="Times New Roman"/>
          <w:sz w:val="24"/>
          <w:szCs w:val="24"/>
          <w:vertAlign w:val="superscript"/>
        </w:rPr>
        <w:t xml:space="preserve">[13-14]</w:t>
      </w:r>
      <w:r>
        <w:rPr>
          <w:rFonts w:ascii="Times New Roman" w:hAnsi="Times New Roman" w:cs="Times New Roman" w:eastAsia="Times New Roman"/>
          <w:sz w:val="24"/>
          <w:szCs w:val="24"/>
        </w:rPr>
        <w:t xml:space="preserve">. Evidence-based priors have been proposed to anchor historical expectations while limiting prior-data conflict </w:t>
      </w:r>
      <w:r>
        <w:rPr>
          <w:rFonts w:ascii="Times New Roman" w:hAnsi="Times New Roman" w:cs="Times New Roman" w:eastAsia="Times New Roman"/>
          <w:sz w:val="24"/>
          <w:szCs w:val="24"/>
          <w:vertAlign w:val="superscript"/>
        </w:rPr>
        <w:t xml:space="preserve">[15]</w:t>
      </w:r>
      <w:r>
        <w:rPr>
          <w:rFonts w:ascii="Times New Roman" w:hAnsi="Times New Roman" w:cs="Times New Roman" w:eastAsia="Times New Roman"/>
          <w:sz w:val="24"/>
          <w:szCs w:val="24"/>
        </w:rPr>
        <w:t xml:space="preserve">. We also present bias-adjusted normal-approximation analyses as a sensitivity check. Posterior distributions are sampled with an affine-invariant ensemble MCMC </w:t>
      </w:r>
      <w:r>
        <w:rPr>
          <w:rFonts w:ascii="Times New Roman" w:hAnsi="Times New Roman" w:cs="Times New Roman" w:eastAsia="Times New Roman"/>
          <w:sz w:val="24"/>
          <w:szCs w:val="24"/>
          <w:vertAlign w:val="superscript"/>
        </w:rPr>
        <w:t xml:space="preserve">[16]</w:t>
      </w:r>
      <w:r>
        <w:rPr>
          <w:rFonts w:ascii="Times New Roman" w:hAnsi="Times New Roman" w:cs="Times New Roman" w:eastAsia="Times New Roman"/>
          <w:sz w:val="24"/>
          <w:szCs w:val="24"/>
        </w:rPr>
        <w:t xml:space="preserve"> using 16 walkers, 1,000 warmup and 4,000 post-warmup iterations per walker, for each</w:t>
      </w:r>
    </w:p>
    <w:p>
      <w:pPr>
        <w:pStyle w:val="Heading3"/>
      </w:pPr>
      <w:r>
        <w:rPr>
          <w:rFonts w:ascii="Times New Roman" w:hAnsi="Times New Roman"/>
          <w:b/>
          <w:color w:val="000000"/>
          <w:sz w:val="24"/>
        </w:rPr>
        <w:t>Module H: Guideline interpretation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evidence of effect,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evidence of no effect,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no evidence of effect (inconsistent or indirect).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Module H maps the outputs of Modules K and T onto the GRADE framework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It includes five assessments (Table 2): information sufficiency (OIS vs observed events), confidence interval interpretation, representativeness (event rate ratio), TSA boundary status, and recommended language. For CI interpretation, we used relative effect boundaries of 0.80 and 1.25 to define clinically important benefit and harm. For representativeness, event-rate ratios below 0.67 or above 1.50 (a ≥50% relative shift) are classified as serious indirectness, and ratios below 0.80 or above 1.25 (a ≥25% relative shift) as moderate indirectness. These thresholds correspond to conventional boundaries for clinically important relative effects. The result is a KOTHA-enhanced certainty rating and recommendation that explicitly distinguishes</w:t>
      </w:r>
    </w:p>
    <w:p>
      <w:pPr>
        <w:pStyle w:val="Heading3"/>
      </w:pPr>
      <w:r>
        <w:rPr>
          <w:rFonts w:ascii="Times New Roman" w:hAnsi="Times New Roman"/>
          <w:b/>
          <w:color w:val="000000"/>
          <w:sz w:val="24"/>
        </w:rPr>
        <w:t>Data sources and statistical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magnesium in AMI we used study-level event counts extracted from published overviews </w:t>
      </w:r>
      <w:r>
        <w:rPr>
          <w:rFonts w:ascii="Times New Roman" w:hAnsi="Times New Roman" w:cs="Times New Roman" w:eastAsia="Times New Roman"/>
          <w:sz w:val="24"/>
          <w:szCs w:val="24"/>
          <w:vertAlign w:val="superscript"/>
        </w:rPr>
        <w:t xml:space="preserve">[17-18]</w:t>
      </w:r>
      <w:r>
        <w:rPr>
          <w:rFonts w:ascii="Times New Roman" w:hAnsi="Times New Roman" w:cs="Times New Roman" w:eastAsia="Times New Roman"/>
          <w:sz w:val="24"/>
          <w:szCs w:val="24"/>
        </w:rPr>
        <w:t xml:space="preserve">. For statins in heart failure we used aggregate data from five observational cohorts </w:t>
      </w:r>
      <w:r>
        <w:rPr>
          <w:rFonts w:ascii="Times New Roman" w:hAnsi="Times New Roman" w:cs="Times New Roman" w:eastAsia="Times New Roman"/>
          <w:sz w:val="24"/>
          <w:szCs w:val="24"/>
          <w:vertAlign w:val="superscript"/>
        </w:rPr>
        <w:t xml:space="preserve">[19-23]</w:t>
      </w:r>
      <w:r>
        <w:rPr>
          <w:rFonts w:ascii="Times New Roman" w:hAnsi="Times New Roman" w:cs="Times New Roman" w:eastAsia="Times New Roman"/>
          <w:sz w:val="24"/>
          <w:szCs w:val="24"/>
        </w:rPr>
        <w:t xml:space="preserve"> and two RCTs </w:t>
      </w:r>
      <w:r>
        <w:rPr>
          <w:rFonts w:ascii="Times New Roman" w:hAnsi="Times New Roman" w:cs="Times New Roman" w:eastAsia="Times New Roman"/>
          <w:sz w:val="24"/>
          <w:szCs w:val="24"/>
          <w:vertAlign w:val="superscript"/>
        </w:rPr>
        <w:t xml:space="preserve">[24-25]</w:t>
      </w:r>
      <w:r>
        <w:rPr>
          <w:rFonts w:ascii="Times New Roman" w:hAnsi="Times New Roman" w:cs="Times New Roman" w:eastAsia="Times New Roman"/>
          <w:sz w:val="24"/>
          <w:szCs w:val="24"/>
        </w:rPr>
        <w:t xml:space="preserve">. We used DerSimonian-Laird random-effects meta-analysis </w:t>
      </w:r>
      <w:r>
        <w:rPr>
          <w:rFonts w:ascii="Times New Roman" w:hAnsi="Times New Roman" w:cs="Times New Roman" w:eastAsia="Times New Roman"/>
          <w:sz w:val="24"/>
          <w:szCs w:val="24"/>
          <w:vertAlign w:val="superscript"/>
        </w:rPr>
        <w:t xml:space="preserve">[26]</w:t>
      </w:r>
      <w:r>
        <w:rPr>
          <w:rFonts w:ascii="Times New Roman" w:hAnsi="Times New Roman" w:cs="Times New Roman" w:eastAsia="Times New Roman"/>
          <w:sz w:val="24"/>
          <w:szCs w:val="24"/>
        </w:rPr>
        <w:t xml:space="preserve"> and computed 95% confidence intervals. OIS and TSA were calculated using standard formulas </w:t>
      </w:r>
      <w:r>
        <w:rPr>
          <w:rFonts w:ascii="Times New Roman" w:hAnsi="Times New Roman" w:cs="Times New Roman" w:eastAsia="Times New Roman"/>
          <w:sz w:val="24"/>
          <w:szCs w:val="24"/>
          <w:vertAlign w:val="superscript"/>
        </w:rPr>
        <w:t xml:space="preserve">[6-9]</w:t>
      </w:r>
      <w:r>
        <w:rPr>
          <w:rFonts w:ascii="Times New Roman" w:hAnsi="Times New Roman" w:cs="Times New Roman" w:eastAsia="Times New Roman"/>
          <w:sz w:val="24"/>
          <w:szCs w:val="24"/>
        </w:rPr>
        <w:t xml:space="preserve">. All analyses were performed with the Python code in the public repository.</w:t>
      </w:r>
    </w:p>
    <w:p>
      <w:pPr>
        <w:jc w:val="center"/>
      </w:pPr>
      <w:r>
        <w:drawing>
          <wp:inline xmlns:a="http://schemas.openxmlformats.org/drawingml/2006/main" xmlns:pic="http://schemas.openxmlformats.org/drawingml/2006/picture">
            <wp:extent cx="5029200" cy="3537145"/>
            <wp:docPr id="1" name="Picture 1"/>
            <wp:cNvGraphicFramePr>
              <a:graphicFrameLocks noChangeAspect="1"/>
            </wp:cNvGraphicFramePr>
            <a:graphic>
              <a:graphicData uri="http://schemas.openxmlformats.org/drawingml/2006/picture">
                <pic:pic>
                  <pic:nvPicPr>
                    <pic:cNvPr id="0" name="fig1_framework_overview.png"/>
                    <pic:cNvPicPr/>
                  </pic:nvPicPr>
                  <pic:blipFill>
                    <a:blip r:embed="rId10"/>
                    <a:stretch>
                      <a:fillRect/>
                    </a:stretch>
                  </pic:blipFill>
                  <pic:spPr>
                    <a:xfrm>
                      <a:off x="0" y="0"/>
                      <a:ext cx="5029200" cy="3537145"/>
                    </a:xfrm>
                    <a:prstGeom prst="rect"/>
                  </pic:spPr>
                </pic:pic>
              </a:graphicData>
            </a:graphic>
          </wp:inline>
        </w:drawing>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quantifies risk-profile shift and estimates power under counterfactual enrollment scenarios. Module T (Bayesian Evidence Integration) combines RCT and observational evidence using power-prior discounting. Module H (Guideline Interpreter) synthesizes outputs into a structured GRADE-compatible assessment.</w:t>
      </w:r>
    </w:p>
    <w:p>
      <w:r>
        <w:rPr>
          <w:rFonts w:ascii="Times New Roman" w:hAnsi="Times New Roman"/>
          <w:b/>
          <w:i w:val="0"/>
          <w:sz w:val="24"/>
        </w:rPr>
        <w:t>Table 2: Module H assessment checklist mapped to GRADE domains</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980"/>
        <w:gridCol w:w="1980"/>
        <w:gridCol w:w="1980"/>
        <w:gridCol w:w="198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Module H assessment</w:t>
            </w:r>
          </w:p>
        </w:tc>
        <w:tc>
          <w:tcPr/>
          <w:p>
            <w:pPr>
              <w:pStyle w:val="Normal"/>
              <w:jc w:val="left"/>
              <w:spacing w:line="240" w:lineRule="auto" w:after="0"/>
            </w:pPr>
            <w:r>
              <w:rPr>
                <w:rFonts w:ascii="Times New Roman" w:hAnsi="Times New Roman" w:cs="Times New Roman" w:eastAsia="Times New Roman"/>
                <w:sz w:val="20"/>
                <w:szCs w:val="20"/>
                <w:b/>
              </w:rPr>
              <w:t xml:space="preserve">GRADE domain</w:t>
            </w:r>
          </w:p>
        </w:tc>
        <w:tc>
          <w:tcPr/>
          <w:p>
            <w:pPr>
              <w:pStyle w:val="Normal"/>
              <w:jc w:val="left"/>
              <w:spacing w:line="240" w:lineRule="auto" w:after="0"/>
            </w:pPr>
            <w:r>
              <w:rPr>
                <w:rFonts w:ascii="Times New Roman" w:hAnsi="Times New Roman" w:cs="Times New Roman" w:eastAsia="Times New Roman"/>
                <w:sz w:val="20"/>
                <w:szCs w:val="20"/>
                <w:b/>
              </w:rPr>
              <w:t xml:space="preserve">Analytical tool</w:t>
            </w:r>
          </w:p>
        </w:tc>
        <w:tc>
          <w:tcPr/>
          <w:p>
            <w:pPr>
              <w:pStyle w:val="Normal"/>
              <w:jc w:val="left"/>
              <w:spacing w:line="240" w:lineRule="auto" w:after="0"/>
            </w:pPr>
            <w:r>
              <w:rPr>
                <w:rFonts w:ascii="Times New Roman" w:hAnsi="Times New Roman" w:cs="Times New Roman" w:eastAsia="Times New Roman"/>
                <w:sz w:val="20"/>
                <w:szCs w:val="20"/>
                <w:b/>
              </w:rPr>
              <w:t xml:space="preserve">Decision criterion</w:t>
            </w:r>
          </w:p>
        </w:tc>
      </w:tr>
      <w:tr>
        <w:tc>
          <w:tcPr/>
          <w:p>
            <w:pPr>
              <w:pStyle w:val="Normal"/>
              <w:jc w:val="left"/>
              <w:spacing w:line="240" w:lineRule="auto" w:after="0"/>
            </w:pPr>
            <w:r>
              <w:rPr>
                <w:rFonts w:ascii="Times New Roman" w:hAnsi="Times New Roman" w:cs="Times New Roman" w:eastAsia="Times New Roman"/>
                <w:sz w:val="20"/>
                <w:szCs w:val="20"/>
              </w:rPr>
              <w:t xml:space="preserve">Information sufficiency</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OIS calculation</w:t>
            </w:r>
          </w:p>
        </w:tc>
        <w:tc>
          <w:tcPr/>
          <w:p>
            <w:pPr>
              <w:pStyle w:val="Normal"/>
              <w:jc w:val="left"/>
              <w:spacing w:line="240" w:lineRule="auto" w:after="0"/>
            </w:pPr>
            <w:r>
              <w:rPr>
                <w:rFonts w:ascii="Times New Roman" w:hAnsi="Times New Roman" w:cs="Times New Roman" w:eastAsia="Times New Roman"/>
                <w:sz w:val="20"/>
                <w:szCs w:val="20"/>
              </w:rPr>
              <w:t xml:space="preserve">Total events &lt; OIS: informationally insufficient</w:t>
            </w:r>
          </w:p>
        </w:tc>
      </w:tr>
      <w:tr>
        <w:tc>
          <w:tcPr/>
          <w:p>
            <w:pPr>
              <w:pStyle w:val="Normal"/>
              <w:jc w:val="left"/>
              <w:spacing w:line="240" w:lineRule="auto" w:after="0"/>
            </w:pPr>
            <w:r>
              <w:rPr>
                <w:rFonts w:ascii="Times New Roman" w:hAnsi="Times New Roman" w:cs="Times New Roman" w:eastAsia="Times New Roman"/>
                <w:sz w:val="20"/>
                <w:szCs w:val="20"/>
              </w:rPr>
              <w:t xml:space="preserve">CI assessment</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CI inspection</w:t>
            </w:r>
          </w:p>
        </w:tc>
        <w:tc>
          <w:tcPr/>
          <w:p>
            <w:pPr>
              <w:pStyle w:val="Normal"/>
              <w:jc w:val="left"/>
              <w:spacing w:line="240" w:lineRule="auto" w:after="0"/>
            </w:pPr>
            <w:r>
              <w:rPr>
                <w:rFonts w:ascii="Times New Roman" w:hAnsi="Times New Roman" w:cs="Times New Roman" w:eastAsia="Times New Roman"/>
                <w:sz w:val="20"/>
                <w:szCs w:val="20"/>
              </w:rPr>
              <w:t xml:space="preserve">CI spans benefit through null: inconclusive</w:t>
            </w:r>
          </w:p>
        </w:tc>
      </w:tr>
      <w:tr>
        <w:tc>
          <w:tcPr/>
          <w:p>
            <w:pPr>
              <w:pStyle w:val="Normal"/>
              <w:jc w:val="left"/>
              <w:spacing w:line="240" w:lineRule="auto" w:after="0"/>
            </w:pPr>
            <w:r>
              <w:rPr>
                <w:rFonts w:ascii="Times New Roman" w:hAnsi="Times New Roman" w:cs="Times New Roman" w:eastAsia="Times New Roman"/>
                <w:sz w:val="20"/>
                <w:szCs w:val="20"/>
              </w:rPr>
              <w:t xml:space="preserve">Representativeness</w:t>
            </w:r>
          </w:p>
        </w:tc>
        <w:tc>
          <w:tcPr/>
          <w:p>
            <w:pPr>
              <w:pStyle w:val="Normal"/>
              <w:jc w:val="left"/>
              <w:spacing w:line="240" w:lineRule="auto" w:after="0"/>
            </w:pPr>
            <w:r>
              <w:rPr>
                <w:rFonts w:ascii="Times New Roman" w:hAnsi="Times New Roman" w:cs="Times New Roman" w:eastAsia="Times New Roman"/>
                <w:sz w:val="20"/>
                <w:szCs w:val="20"/>
              </w:rPr>
              <w:t xml:space="preserve">Indirectness</w:t>
            </w:r>
          </w:p>
        </w:tc>
        <w:tc>
          <w:tcPr/>
          <w:p>
            <w:pPr>
              <w:pStyle w:val="Normal"/>
              <w:jc w:val="left"/>
              <w:spacing w:line="240" w:lineRule="auto" w:after="0"/>
            </w:pPr>
            <w:r>
              <w:rPr>
                <w:rFonts w:ascii="Times New Roman" w:hAnsi="Times New Roman" w:cs="Times New Roman" w:eastAsia="Times New Roman"/>
                <w:sz w:val="20"/>
                <w:szCs w:val="20"/>
              </w:rPr>
              <w:t xml:space="preserve">Module K event rate ratio</w:t>
            </w:r>
          </w:p>
        </w:tc>
        <w:tc>
          <w:tcPr/>
          <w:p>
            <w:pPr>
              <w:pStyle w:val="Normal"/>
              <w:jc w:val="left"/>
              <w:spacing w:line="240" w:lineRule="auto" w:after="0"/>
            </w:pPr>
            <w:r>
              <w:rPr>
                <w:rFonts w:ascii="Times New Roman" w:hAnsi="Times New Roman" w:cs="Times New Roman" w:eastAsia="Times New Roman"/>
                <w:sz w:val="20"/>
                <w:szCs w:val="20"/>
              </w:rPr>
              <w:t xml:space="preserve">&lt; 0.67 or &gt; 1.50: serious; &lt; 0.80 or &gt; 1.25: moderate</w:t>
            </w:r>
          </w:p>
        </w:tc>
      </w:tr>
      <w:tr>
        <w:tc>
          <w:tcPr/>
          <w:p>
            <w:pPr>
              <w:pStyle w:val="Normal"/>
              <w:jc w:val="left"/>
              <w:spacing w:line="240" w:lineRule="auto" w:after="0"/>
            </w:pPr>
            <w:r>
              <w:rPr>
                <w:rFonts w:ascii="Times New Roman" w:hAnsi="Times New Roman" w:cs="Times New Roman" w:eastAsia="Times New Roman"/>
                <w:sz w:val="20"/>
                <w:szCs w:val="20"/>
              </w:rPr>
              <w:t xml:space="preserve">TSA</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Sequential monitoring boundaries</w:t>
            </w:r>
          </w:p>
        </w:tc>
        <w:tc>
          <w:tcPr/>
          <w:p>
            <w:pPr>
              <w:pStyle w:val="Normal"/>
              <w:jc w:val="left"/>
              <w:spacing w:line="240" w:lineRule="auto" w:after="0"/>
            </w:pPr>
            <w:r>
              <w:rPr>
                <w:rFonts w:ascii="Times New Roman" w:hAnsi="Times New Roman" w:cs="Times New Roman" w:eastAsia="Times New Roman"/>
                <w:sz w:val="20"/>
                <w:szCs w:val="20"/>
              </w:rPr>
              <w:t xml:space="preserve">Boundaries not crossed: interim analysis equivalent</w:t>
            </w:r>
          </w:p>
        </w:tc>
      </w:tr>
      <w:tr>
        <w:tc>
          <w:tcPr/>
          <w:p>
            <w:pPr>
              <w:pStyle w:val="Normal"/>
              <w:jc w:val="left"/>
              <w:spacing w:line="240" w:lineRule="auto" w:after="0"/>
            </w:pPr>
            <w:r>
              <w:rPr>
                <w:rFonts w:ascii="Times New Roman" w:hAnsi="Times New Roman" w:cs="Times New Roman" w:eastAsia="Times New Roman"/>
                <w:sz w:val="20"/>
                <w:szCs w:val="20"/>
              </w:rPr>
              <w:t xml:space="preserve">Recommendation language</w:t>
            </w:r>
          </w:p>
        </w:tc>
        <w:tc>
          <w:tcPr/>
          <w:p>
            <w:pPr>
              <w:pStyle w:val="Normal"/>
              <w:jc w:val="left"/>
              <w:spacing w:line="240" w:lineRule="auto" w:after="0"/>
            </w:pPr>
            <w:r>
              <w:rPr>
                <w:rFonts w:ascii="Times New Roman" w:hAnsi="Times New Roman" w:cs="Times New Roman" w:eastAsia="Times New Roman"/>
                <w:sz w:val="20"/>
                <w:szCs w:val="20"/>
              </w:rPr>
              <w:t xml:space="preserve">Overall assessment</w:t>
            </w:r>
          </w:p>
        </w:tc>
        <w:tc>
          <w:tcPr/>
          <w:p>
            <w:pPr>
              <w:pStyle w:val="Normal"/>
              <w:jc w:val="left"/>
              <w:spacing w:line="240" w:lineRule="auto" w:after="0"/>
            </w:pPr>
            <w:r>
              <w:rPr>
                <w:rFonts w:ascii="Times New Roman" w:hAnsi="Times New Roman" w:cs="Times New Roman" w:eastAsia="Times New Roman"/>
                <w:sz w:val="20"/>
                <w:szCs w:val="20"/>
              </w:rPr>
              <w:t xml:space="preserve">Standardized templates</w:t>
            </w:r>
          </w:p>
        </w:tc>
        <w:tc>
          <w:tcPr/>
          <w:p>
            <w:pPr>
              <w:pStyle w:val="Normal"/>
              <w:jc w:val="left"/>
              <w:spacing w:line="240" w:lineRule="auto" w:after="0"/>
            </w:pPr>
            <w:r>
              <w:rPr>
                <w:rFonts w:ascii="Times New Roman" w:hAnsi="Times New Roman" w:cs="Times New Roman" w:eastAsia="Times New Roman"/>
                <w:sz w:val="20"/>
                <w:szCs w:val="20"/>
              </w:rPr>
              <w:t xml:space="preserve">Tailored to information sufficiency classification</w:t>
            </w:r>
          </w:p>
        </w:tc>
      </w:tr>
    </w:tbl>
    <w:p>
      <w:pPr>
        <w:pStyle w:val="Heading2"/>
      </w:pPr>
      <w:r>
        <w:rPr>
          <w:rFonts w:ascii="Times New Roman" w:hAnsi="Times New Roman"/>
          <w:b/>
          <w:color w:val="000000"/>
          <w:sz w:val="24"/>
        </w:rPr>
        <w:t>3. Results</w:t>
      </w:r>
    </w:p>
    <w:p>
      <w:pPr>
        <w:pStyle w:val="Heading3"/>
      </w:pPr>
      <w:r>
        <w:rPr>
          <w:rFonts w:ascii="Times New Roman" w:hAnsi="Times New Roman"/>
          <w:b/>
          <w:color w:val="000000"/>
          <w:sz w:val="24"/>
        </w:rPr>
        <w:t>Study-level data and risk-profile shift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Study-level data are provided in Supplementary Table S1 (magnesium in AMI) and Supplementary Table S2 (statins in HF). In the magnesium case, control-group mortality fell from a pre-thrombolysis weighted mean of 8.9% to 7.2% in ISIS-4, an event rate ratio of 0.82 (Fig. 2). In the statins case, the RCT-to-observational event rate ratio was 0.51, indicating that the RCT populations had roughly half the mortality event rate of the observational cohorts.</w:t>
      </w:r>
    </w:p>
    <w:p>
      <w:pPr>
        <w:jc w:val="center"/>
      </w:pPr>
      <w:r>
        <w:drawing>
          <wp:inline xmlns:a="http://schemas.openxmlformats.org/drawingml/2006/main" xmlns:pic="http://schemas.openxmlformats.org/drawingml/2006/picture">
            <wp:extent cx="5029200" cy="2061675"/>
            <wp:docPr id="2" name="Picture 2"/>
            <wp:cNvGraphicFramePr>
              <a:graphicFrameLocks noChangeAspect="1"/>
            </wp:cNvGraphicFramePr>
            <a:graphic>
              <a:graphicData uri="http://schemas.openxmlformats.org/drawingml/2006/picture">
                <pic:pic>
                  <pic:nvPicPr>
                    <pic:cNvPr id="0" name="fig2_risk_profile_shift.png"/>
                    <pic:cNvPicPr/>
                  </pic:nvPicPr>
                  <pic:blipFill>
                    <a:blip r:embed="rId11"/>
                    <a:stretch>
                      <a:fillRect/>
                    </a:stretch>
                  </pic:blipFill>
                  <pic:spPr>
                    <a:xfrm>
                      <a:off x="0" y="0"/>
                      <a:ext cx="5029200" cy="2061675"/>
                    </a:xfrm>
                    <a:prstGeom prst="rect"/>
                  </pic:spPr>
                </pic:pic>
              </a:graphicData>
            </a:graphic>
          </wp:inline>
        </w:drawing>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and colors indicating era. (B) Weighted mean control mortality by era.</w:t>
      </w:r>
    </w:p>
    <w:p>
      <w:pPr>
        <w:pStyle w:val="Heading3"/>
      </w:pPr>
      <w:r>
        <w:rPr>
          <w:rFonts w:ascii="Times New Roman" w:hAnsi="Times New Roman"/>
          <w:b/>
          <w:color w:val="000000"/>
          <w:sz w:val="24"/>
        </w:rPr>
        <w:t>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At the ISIS-4 sample size (N = 58,050) and the pre-ISIS-4 pooled effect (OR = 0.54), power exceeded 99% under all three event-rate scenarios. For a more modest effect (OR = 0.90), however, power was 95.8% under the pre-thrombolysis rate and 91.5% under the ISIS-4 rate (Fig. 3A). For statins, power to detect the observational effect (HR = 0.72) was 100.0% under the observational event rate and 100.0% under the RCT event rate; for a more modest effect (HR = 0.85), power fell from 98.4% to 83.2%—a 15 percentage-point reduction attributable to event dilution (Fig. 3B).</w:t>
      </w:r>
    </w:p>
    <w:p>
      <w:pPr>
        <w:jc w:val="center"/>
      </w:pPr>
      <w:r>
        <w:drawing>
          <wp:inline xmlns:a="http://schemas.openxmlformats.org/drawingml/2006/main" xmlns:pic="http://schemas.openxmlformats.org/drawingml/2006/picture">
            <wp:extent cx="5029200" cy="2096542"/>
            <wp:docPr id="3" name="Picture 3"/>
            <wp:cNvGraphicFramePr>
              <a:graphicFrameLocks noChangeAspect="1"/>
            </wp:cNvGraphicFramePr>
            <a:graphic>
              <a:graphicData uri="http://schemas.openxmlformats.org/drawingml/2006/picture">
                <pic:pic>
                  <pic:nvPicPr>
                    <pic:cNvPr id="0" name="fig3_power_curves.png"/>
                    <pic:cNvPicPr/>
                  </pic:nvPicPr>
                  <pic:blipFill>
                    <a:blip r:embed="rId12"/>
                    <a:stretch>
                      <a:fillRect/>
                    </a:stretch>
                  </pic:blipFill>
                  <pic:spPr>
                    <a:xfrm>
                      <a:off x="0" y="0"/>
                      <a:ext cx="5029200" cy="2096542"/>
                    </a:xfrm>
                    <a:prstGeom prst="rect"/>
                  </pic:spPr>
                </pic:pic>
              </a:graphicData>
            </a:graphic>
          </wp:inline>
        </w:drawing>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S1 = real-world/observational event rate; S2 = RCT event rate; S3 = intermediate/enriched rate. Horizontal dashed lines indicate 80% power.</w:t>
      </w:r>
    </w:p>
    <w:p>
      <w:pPr>
        <w:pStyle w:val="Heading3"/>
      </w:pPr>
      <w:r>
        <w:rPr>
          <w:rFonts w:ascii="Times New Roman" w:hAnsi="Times New Roman"/>
          <w:b/>
          <w:color w:val="000000"/>
          <w:sz w:val="24"/>
        </w:rPr>
        <w:t>Frequentist meta-analysis and trial sequential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Forest plots for magnesium and statins are shown in Fig. 4. Random-effects meta-analysis of the 11 pre-ISIS-4 magnesium trials yielded OR = 0.54 (95% CI: 0.40-0.75)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 Adding ISIS-4 changed the pooled estimate to OR = 0.56 (0.38-0.83), but heterogeneity increased to</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(Fig. 4A). TSA under a fixed-effect accumulation produced a final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of 0.80, which did not cross the conventional two-sided boundary for benefit or harm (</w:t>
      </w:r>
      <m:oMath>
        <m:d>
          <m:dPr>
            <m:begChr m:val="|"/>
            <m:endChr m:val="|"/>
            <m:sepChr m:val=""/>
            <m:grow/>
          </m:dPr>
          <m:e>
            <m:r>
              <m:t>Z</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1.96); under a random-effects accumulation the final</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-2.90, crossing the lower O’Brien-Fleming boundary of -1.96 (which, because the cumulative information exceeded the optimal information size, equals the conventional two-sided boundary) (Fig. 5). This divergence reflects era-dependent treatment-effect heterogeneity driven by the ISIS-4 result.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statins, observational studies showed a pooled HR of 0.72 (95% CI: 0.64-0.80)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82%, whereas the two RCTs (CORONA and GISSI-HF) yielded HR = 0.97 (0.90-1.05)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(Fig. 4B).</w:t>
      </w:r>
    </w:p>
    <w:p>
      <w:pPr>
        <w:jc w:val="center"/>
      </w:pPr>
      <w:r>
        <w:drawing>
          <wp:inline xmlns:a="http://schemas.openxmlformats.org/drawingml/2006/main" xmlns:pic="http://schemas.openxmlformats.org/drawingml/2006/picture">
            <wp:extent cx="5029200" cy="2644843"/>
            <wp:docPr id="4" name="Picture 4"/>
            <wp:cNvGraphicFramePr>
              <a:graphicFrameLocks noChangeAspect="1"/>
            </wp:cNvGraphicFramePr>
            <a:graphic>
              <a:graphicData uri="http://schemas.openxmlformats.org/drawingml/2006/picture">
                <pic:pic>
                  <pic:nvPicPr>
                    <pic:cNvPr id="0" name="fig4_forest_combined.png"/>
                    <pic:cNvPicPr/>
                  </pic:nvPicPr>
                  <pic:blipFill>
                    <a:blip r:embed="rId13"/>
                    <a:stretch>
                      <a:fillRect/>
                    </a:stretch>
                  </pic:blipFill>
                  <pic:spPr>
                    <a:xfrm>
                      <a:off x="0" y="0"/>
                      <a:ext cx="5029200" cy="2644843"/>
                    </a:xfrm>
                    <a:prstGeom prst="rect"/>
                  </pic:spPr>
                </pic:pic>
              </a:graphicData>
            </a:graphic>
          </wp:inline>
        </w:drawing>
      </w:r>
    </w:p>
    <w:p>
      <w:pPr>
        <w:jc w:val="left"/>
      </w:pPr>
      <w:r>
        <w:rPr>
          <w:rFonts w:ascii="Times New Roman" w:hAnsi="Times New Roman"/>
          <w:b/>
          <w:sz w:val="20"/>
        </w:rPr>
        <w:t xml:space="preserve">Figure 4. </w:t>
      </w:r>
      <w:r>
        <w:rPr>
          <w:rFonts w:ascii="Times New Roman" w:hAnsi="Times New Roman"/>
          <w:sz w:val="20"/>
        </w:rPr>
        <w:t>Forest plots for (A) magnesium in AMI and (B) statins in heart failure. Individual study effect estimates are shown with 95% confidence intervals. Pooled estimates include frequentist random-effects and Bayesian integrated estimates at selected discounting levels (α = 0.3, 0.5, 1.0 for magnesium; 0.1, 0.3, 0.5 for statins).</w:t>
      </w:r>
    </w:p>
    <w:p>
      <w:pPr>
        <w:jc w:val="center"/>
      </w:pPr>
      <w:r>
        <w:drawing>
          <wp:inline xmlns:a="http://schemas.openxmlformats.org/drawingml/2006/main" xmlns:pic="http://schemas.openxmlformats.org/drawingml/2006/picture">
            <wp:extent cx="5029200" cy="3005429"/>
            <wp:docPr id="5" name="Picture 5"/>
            <wp:cNvGraphicFramePr>
              <a:graphicFrameLocks noChangeAspect="1"/>
            </wp:cNvGraphicFramePr>
            <a:graphic>
              <a:graphicData uri="http://schemas.openxmlformats.org/drawingml/2006/picture">
                <pic:pic>
                  <pic:nvPicPr>
                    <pic:cNvPr id="0" name="fig5_tsa_magnesium.png"/>
                    <pic:cNvPicPr/>
                  </pic:nvPicPr>
                  <pic:blipFill>
                    <a:blip r:embed="rId14"/>
                    <a:stretch>
                      <a:fillRect/>
                    </a:stretch>
                  </pic:blipFill>
                  <pic:spPr>
                    <a:xfrm>
                      <a:off x="0" y="0"/>
                      <a:ext cx="5029200" cy="3005429"/>
                    </a:xfrm>
                    <a:prstGeom prst="rect"/>
                  </pic:spPr>
                </pic:pic>
              </a:graphicData>
            </a:graphic>
          </wp:inline>
        </w:drawing>
      </w:r>
    </w:p>
    <w:p>
      <w:pPr>
        <w:jc w:val="left"/>
      </w:pPr>
      <w:r>
        <w:rPr>
          <w:rFonts w:ascii="Times New Roman" w:hAnsi="Times New Roman"/>
          <w:b/>
          <w:sz w:val="20"/>
        </w:rPr>
        <w:t xml:space="preserve">Figure 5. </w:t>
      </w:r>
      <w:r>
        <w:rPr>
          <w:rFonts w:ascii="Times New Roman" w:hAnsi="Times New Roman"/>
          <w:sz w:val="20"/>
        </w:rPr>
        <w:t>Trial sequential analysis for magnesium in AMI. The cumulative Z-curve is plotted against cumulative events. Vertical dashed line indicates the optimal information size (OIS). Curved lines show O'Brien-Fleming monitoring boundaries.</w:t>
      </w:r>
    </w:p>
    <w:p>
      <w:pPr>
        <w:pStyle w:val="Heading3"/>
      </w:pPr>
      <w:r>
        <w:rPr>
          <w:rFonts w:ascii="Times New Roman" w:hAnsi="Times New Roman"/>
          <w:b/>
          <w:color w:val="000000"/>
          <w:sz w:val="24"/>
        </w:rPr>
        <w:t>Bayesian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Bayesian integration (Table 3) showed that for magnesium,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(ISIS-4 only), the posterior median OR was 1.05 with 42.8% probability of benefit.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 posterior shifted to OR = 0.74 (95% CrI: 0.25-1.43), with 80.7% probability of benefit (Fig. 6A). For statins,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(RCTs only) the posterior probability of benefit was 62.9% and the probability of a clinically meaningful benefit (HR &lt; 0.90) was 21.2%.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these probabilities rose to 86.5% and 66.0%, respectively (Fig. 6B). Even with moderate borrowing from observational evidence, conclusions remained uncertain.</w:t>
      </w:r>
    </w:p>
    <w:p>
      <w:r>
        <w:rPr>
          <w:rFonts w:ascii="Times New Roman" w:hAnsi="Times New Roman"/>
          <w:b/>
          <w:i w:val="0"/>
          <w:sz w:val="24"/>
        </w:rPr>
        <w:t>Table 3: Bayesian integration results by case and discounting factor (power prior)</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320"/>
        <w:gridCol w:w="1320"/>
        <w:gridCol w:w="1320"/>
        <w:gridCol w:w="1320"/>
        <w:gridCol w:w="1320"/>
        <w:gridCol w:w="132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Case</w:t>
            </w:r>
          </w:p>
        </w:tc>
        <w:tc>
          <w:tcPr/>
          <w:p>
            <w:pPr>
              <w:pStyle w:val="Normal"/>
              <w:jc w:val="left"/>
              <w:spacing w:line="240" w:lineRule="auto" w:after="0"/>
            </w:pPr>
            <m:oMath>
              <m:r>
                <m:t>α</m:t>
              </m:r>
            </m:oMath>
          </w:p>
        </w:tc>
        <w:tc>
          <w:tcPr/>
          <w:p>
            <w:pPr>
              <w:pStyle w:val="Normal"/>
              <w:jc w:val="left"/>
              <w:spacing w:line="240" w:lineRule="auto" w:after="0"/>
            </w:pPr>
            <w:r>
              <w:rPr>
                <w:rFonts w:ascii="Times New Roman" w:hAnsi="Times New Roman" w:cs="Times New Roman" w:eastAsia="Times New Roman"/>
                <w:sz w:val="20"/>
                <w:szCs w:val="20"/>
                <w:b/>
              </w:rPr>
              <w:t xml:space="preserve">OR/HR (95% CrI)</w:t>
            </w:r>
          </w:p>
        </w:tc>
        <w:tc>
          <w:tcPr/>
          <w:p>
            <w:pPr>
              <w:pStyle w:val="Normal"/>
              <w:jc w:val="left"/>
              <w:spacing w:line="240" w:lineRule="auto" w:after="0"/>
            </w:pPr>
            <w:r>
              <w:rPr>
                <w:rFonts w:ascii="Times New Roman" w:hAnsi="Times New Roman" w:cs="Times New Roman" w:eastAsia="Times New Roman"/>
                <w:sz w:val="20"/>
                <w:szCs w:val="20"/>
                <w:b/>
              </w:rPr>
              <w:t xml:space="preserve">P(effect &lt; 1)</w:t>
            </w:r>
          </w:p>
        </w:tc>
        <w:tc>
          <w:tcPr/>
          <w:p>
            <w:pPr>
              <w:pStyle w:val="Normal"/>
              <w:jc w:val="left"/>
              <w:spacing w:line="240" w:lineRule="auto" w:after="0"/>
            </w:pPr>
            <w:r>
              <w:rPr>
                <w:rFonts w:ascii="Times New Roman" w:hAnsi="Times New Roman" w:cs="Times New Roman" w:eastAsia="Times New Roman"/>
                <w:sz w:val="20"/>
                <w:szCs w:val="20"/>
                <w:b/>
              </w:rPr>
              <w:t xml:space="preserve">P(effect &lt; 0.90)</w:t>
            </w:r>
          </w:p>
        </w:tc>
        <w:tc>
          <w:tcPr/>
          <w:p>
            <w:pPr>
              <w:pStyle w:val="Normal"/>
              <w:jc w:val="left"/>
              <w:spacing w:line="240" w:lineRule="auto" w:after="0"/>
            </w:pPr>
            <w:r>
              <w:rPr>
                <w:rFonts w:ascii="Times New Roman" w:hAnsi="Times New Roman" w:cs="Times New Roman" w:eastAsia="Times New Roman"/>
                <w:sz w:val="20"/>
                <w:szCs w:val="20"/>
                <w:b/>
              </w:rPr>
              <w:t xml:space="preserve">P(effect &lt; 0.80)</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0.0 (ISIS-4 / RCTs only)</w:t>
            </w:r>
          </w:p>
        </w:tc>
        <w:tc>
          <w:tcPr/>
          <w:p>
            <w:pPr>
              <w:pStyle w:val="Normal"/>
              <w:jc w:val="left"/>
              <w:spacing w:line="240" w:lineRule="auto" w:after="0"/>
            </w:pPr>
            <w:r>
              <w:rPr>
                <w:rFonts w:ascii="Times New Roman" w:hAnsi="Times New Roman" w:cs="Times New Roman" w:eastAsia="Times New Roman"/>
                <w:sz w:val="20"/>
                <w:szCs w:val="20"/>
              </w:rPr>
              <w:t xml:space="preserve">OR 1.05 (0.03–27.97)</w:t>
            </w:r>
          </w:p>
        </w:tc>
        <w:tc>
          <w:tcPr/>
          <w:p>
            <w:pPr>
              <w:pStyle w:val="Normal"/>
              <w:jc w:val="left"/>
              <w:spacing w:line="240" w:lineRule="auto" w:after="0"/>
            </w:pPr>
            <w:r>
              <w:rPr>
                <w:rFonts w:ascii="Times New Roman" w:hAnsi="Times New Roman" w:cs="Times New Roman" w:eastAsia="Times New Roman"/>
                <w:sz w:val="20"/>
                <w:szCs w:val="20"/>
              </w:rPr>
              <w:t xml:space="preserve">42.8%</w:t>
            </w:r>
          </w:p>
        </w:tc>
        <w:tc>
          <w:tcPr/>
          <w:p>
            <w:pPr>
              <w:pStyle w:val="Normal"/>
              <w:jc w:val="left"/>
              <w:spacing w:line="240" w:lineRule="auto" w:after="0"/>
            </w:pPr>
            <w:r>
              <w:rPr>
                <w:rFonts w:ascii="Times New Roman" w:hAnsi="Times New Roman" w:cs="Times New Roman" w:eastAsia="Times New Roman"/>
                <w:sz w:val="20"/>
                <w:szCs w:val="20"/>
              </w:rPr>
              <w:t xml:space="preserve">33.4%</w:t>
            </w:r>
          </w:p>
        </w:tc>
        <w:tc>
          <w:tcPr/>
          <w:p>
            <w:pPr>
              <w:pStyle w:val="Normal"/>
              <w:jc w:val="left"/>
              <w:spacing w:line="240" w:lineRule="auto" w:after="0"/>
            </w:pPr>
            <w:r>
              <w:rPr>
                <w:rFonts w:ascii="Times New Roman" w:hAnsi="Times New Roman" w:cs="Times New Roman" w:eastAsia="Times New Roman"/>
                <w:sz w:val="20"/>
                <w:szCs w:val="20"/>
              </w:rPr>
              <w:t xml:space="preserve">27.0%</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0.0 (ISIS-4 / RCTs only)</w:t>
            </w:r>
          </w:p>
        </w:tc>
        <w:tc>
          <w:tcPr/>
          <w:p>
            <w:pPr>
              <w:pStyle w:val="Normal"/>
              <w:jc w:val="left"/>
              <w:spacing w:line="240" w:lineRule="auto" w:after="0"/>
            </w:pPr>
            <w:r>
              <w:rPr>
                <w:rFonts w:ascii="Times New Roman" w:hAnsi="Times New Roman" w:cs="Times New Roman" w:eastAsia="Times New Roman"/>
                <w:sz w:val="20"/>
                <w:szCs w:val="20"/>
              </w:rPr>
              <w:t xml:space="preserve">HR 0.97 (0.58–1.65)</w:t>
            </w:r>
          </w:p>
        </w:tc>
        <w:tc>
          <w:tcPr/>
          <w:p>
            <w:pPr>
              <w:pStyle w:val="Normal"/>
              <w:jc w:val="left"/>
              <w:spacing w:line="240" w:lineRule="auto" w:after="0"/>
            </w:pPr>
            <w:r>
              <w:rPr>
                <w:rFonts w:ascii="Times New Roman" w:hAnsi="Times New Roman" w:cs="Times New Roman" w:eastAsia="Times New Roman"/>
                <w:sz w:val="20"/>
                <w:szCs w:val="20"/>
              </w:rPr>
              <w:t xml:space="preserve">62.9%</w:t>
            </w:r>
          </w:p>
        </w:tc>
        <w:tc>
          <w:tcPr/>
          <w:p>
            <w:pPr>
              <w:pStyle w:val="Normal"/>
              <w:jc w:val="left"/>
              <w:spacing w:line="240" w:lineRule="auto" w:after="0"/>
            </w:pPr>
            <w:r>
              <w:rPr>
                <w:rFonts w:ascii="Times New Roman" w:hAnsi="Times New Roman" w:cs="Times New Roman" w:eastAsia="Times New Roman"/>
                <w:sz w:val="20"/>
                <w:szCs w:val="20"/>
              </w:rPr>
              <w:t xml:space="preserve">21.2%</w:t>
            </w:r>
          </w:p>
        </w:tc>
        <w:tc>
          <w:tcPr/>
          <w:p>
            <w:pPr>
              <w:pStyle w:val="Normal"/>
              <w:jc w:val="left"/>
              <w:spacing w:line="240" w:lineRule="auto" w:after="0"/>
            </w:pPr>
            <w:r>
              <w:rPr>
                <w:rFonts w:ascii="Times New Roman" w:hAnsi="Times New Roman" w:cs="Times New Roman" w:eastAsia="Times New Roman"/>
                <w:sz w:val="20"/>
                <w:szCs w:val="20"/>
              </w:rPr>
              <w:t xml:space="preserve">8.9%</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0.1</w:t>
            </w:r>
          </w:p>
        </w:tc>
        <w:tc>
          <w:tcPr/>
          <w:p>
            <w:pPr>
              <w:pStyle w:val="Normal"/>
              <w:jc w:val="left"/>
              <w:spacing w:line="240" w:lineRule="auto" w:after="0"/>
            </w:pPr>
            <w:r>
              <w:rPr>
                <w:rFonts w:ascii="Times New Roman" w:hAnsi="Times New Roman" w:cs="Times New Roman" w:eastAsia="Times New Roman"/>
                <w:sz w:val="20"/>
                <w:szCs w:val="20"/>
              </w:rPr>
              <w:t xml:space="preserve">OR 0.93 (0.15–2.92)</w:t>
            </w:r>
          </w:p>
        </w:tc>
        <w:tc>
          <w:tcPr/>
          <w:p>
            <w:pPr>
              <w:pStyle w:val="Normal"/>
              <w:jc w:val="left"/>
              <w:spacing w:line="240" w:lineRule="auto" w:after="0"/>
            </w:pPr>
            <w:r>
              <w:rPr>
                <w:rFonts w:ascii="Times New Roman" w:hAnsi="Times New Roman" w:cs="Times New Roman" w:eastAsia="Times New Roman"/>
                <w:sz w:val="20"/>
                <w:szCs w:val="20"/>
              </w:rPr>
              <w:t xml:space="preserve">58.3%</w:t>
            </w:r>
          </w:p>
        </w:tc>
        <w:tc>
          <w:tcPr/>
          <w:p>
            <w:pPr>
              <w:pStyle w:val="Normal"/>
              <w:jc w:val="left"/>
              <w:spacing w:line="240" w:lineRule="auto" w:after="0"/>
            </w:pPr>
            <w:r>
              <w:rPr>
                <w:rFonts w:ascii="Times New Roman" w:hAnsi="Times New Roman" w:cs="Times New Roman" w:eastAsia="Times New Roman"/>
                <w:sz w:val="20"/>
                <w:szCs w:val="20"/>
              </w:rPr>
              <w:t xml:space="preserve">46.3%</w:t>
            </w:r>
          </w:p>
        </w:tc>
        <w:tc>
          <w:tcPr/>
          <w:p>
            <w:pPr>
              <w:pStyle w:val="Normal"/>
              <w:jc w:val="left"/>
              <w:spacing w:line="240" w:lineRule="auto" w:after="0"/>
            </w:pPr>
            <w:r>
              <w:rPr>
                <w:rFonts w:ascii="Times New Roman" w:hAnsi="Times New Roman" w:cs="Times New Roman" w:eastAsia="Times New Roman"/>
                <w:sz w:val="20"/>
                <w:szCs w:val="20"/>
              </w:rPr>
              <w:t xml:space="preserve">36.2%</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0.1</w:t>
            </w:r>
          </w:p>
        </w:tc>
        <w:tc>
          <w:tcPr/>
          <w:p>
            <w:pPr>
              <w:pStyle w:val="Normal"/>
              <w:jc w:val="left"/>
              <w:spacing w:line="240" w:lineRule="auto" w:after="0"/>
            </w:pPr>
            <w:r>
              <w:rPr>
                <w:rFonts w:ascii="Times New Roman" w:hAnsi="Times New Roman" w:cs="Times New Roman" w:eastAsia="Times New Roman"/>
                <w:sz w:val="20"/>
                <w:szCs w:val="20"/>
              </w:rPr>
              <w:t xml:space="preserve">HR 0.92 (0.53–1.64)</w:t>
            </w:r>
          </w:p>
        </w:tc>
        <w:tc>
          <w:tcPr/>
          <w:p>
            <w:pPr>
              <w:pStyle w:val="Normal"/>
              <w:jc w:val="left"/>
              <w:spacing w:line="240" w:lineRule="auto" w:after="0"/>
            </w:pPr>
            <w:r>
              <w:rPr>
                <w:rFonts w:ascii="Times New Roman" w:hAnsi="Times New Roman" w:cs="Times New Roman" w:eastAsia="Times New Roman"/>
                <w:sz w:val="20"/>
                <w:szCs w:val="20"/>
              </w:rPr>
              <w:t xml:space="preserve">71.9%</w:t>
            </w:r>
          </w:p>
        </w:tc>
        <w:tc>
          <w:tcPr/>
          <w:p>
            <w:pPr>
              <w:pStyle w:val="Normal"/>
              <w:jc w:val="left"/>
              <w:spacing w:line="240" w:lineRule="auto" w:after="0"/>
            </w:pPr>
            <w:r>
              <w:rPr>
                <w:rFonts w:ascii="Times New Roman" w:hAnsi="Times New Roman" w:cs="Times New Roman" w:eastAsia="Times New Roman"/>
                <w:sz w:val="20"/>
                <w:szCs w:val="20"/>
              </w:rPr>
              <w:t xml:space="preserve">42.7%</w:t>
            </w:r>
          </w:p>
        </w:tc>
        <w:tc>
          <w:tcPr/>
          <w:p>
            <w:pPr>
              <w:pStyle w:val="Normal"/>
              <w:jc w:val="left"/>
              <w:spacing w:line="240" w:lineRule="auto" w:after="0"/>
            </w:pPr>
            <w:r>
              <w:rPr>
                <w:rFonts w:ascii="Times New Roman" w:hAnsi="Times New Roman" w:cs="Times New Roman" w:eastAsia="Times New Roman"/>
                <w:sz w:val="20"/>
                <w:szCs w:val="20"/>
              </w:rPr>
              <w:t xml:space="preserve">19.2%</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0.2</w:t>
            </w:r>
          </w:p>
        </w:tc>
        <w:tc>
          <w:tcPr/>
          <w:p>
            <w:pPr>
              <w:pStyle w:val="Normal"/>
              <w:jc w:val="left"/>
              <w:spacing w:line="240" w:lineRule="auto" w:after="0"/>
            </w:pPr>
            <w:r>
              <w:rPr>
                <w:rFonts w:ascii="Times New Roman" w:hAnsi="Times New Roman" w:cs="Times New Roman" w:eastAsia="Times New Roman"/>
                <w:sz w:val="20"/>
                <w:szCs w:val="20"/>
              </w:rPr>
              <w:t xml:space="preserve">OR 0.83 (0.22–1.75)</w:t>
            </w:r>
          </w:p>
        </w:tc>
        <w:tc>
          <w:tcPr/>
          <w:p>
            <w:pPr>
              <w:pStyle w:val="Normal"/>
              <w:jc w:val="left"/>
              <w:spacing w:line="240" w:lineRule="auto" w:after="0"/>
            </w:pPr>
            <w:r>
              <w:rPr>
                <w:rFonts w:ascii="Times New Roman" w:hAnsi="Times New Roman" w:cs="Times New Roman" w:eastAsia="Times New Roman"/>
                <w:sz w:val="20"/>
                <w:szCs w:val="20"/>
              </w:rPr>
              <w:t xml:space="preserve">71.4%</w:t>
            </w:r>
          </w:p>
        </w:tc>
        <w:tc>
          <w:tcPr/>
          <w:p>
            <w:pPr>
              <w:pStyle w:val="Normal"/>
              <w:jc w:val="left"/>
              <w:spacing w:line="240" w:lineRule="auto" w:after="0"/>
            </w:pPr>
            <w:r>
              <w:rPr>
                <w:rFonts w:ascii="Times New Roman" w:hAnsi="Times New Roman" w:cs="Times New Roman" w:eastAsia="Times New Roman"/>
                <w:sz w:val="20"/>
                <w:szCs w:val="20"/>
              </w:rPr>
              <w:t xml:space="preserve">58.9%</w:t>
            </w:r>
          </w:p>
        </w:tc>
        <w:tc>
          <w:tcPr/>
          <w:p>
            <w:pPr>
              <w:pStyle w:val="Normal"/>
              <w:jc w:val="left"/>
              <w:spacing w:line="240" w:lineRule="auto" w:after="0"/>
            </w:pPr>
            <w:r>
              <w:rPr>
                <w:rFonts w:ascii="Times New Roman" w:hAnsi="Times New Roman" w:cs="Times New Roman" w:eastAsia="Times New Roman"/>
                <w:sz w:val="20"/>
                <w:szCs w:val="20"/>
              </w:rPr>
              <w:t xml:space="preserve">46.9%</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0.2</w:t>
            </w:r>
          </w:p>
        </w:tc>
        <w:tc>
          <w:tcPr/>
          <w:p>
            <w:pPr>
              <w:pStyle w:val="Normal"/>
              <w:jc w:val="left"/>
              <w:spacing w:line="240" w:lineRule="auto" w:after="0"/>
            </w:pPr>
            <w:r>
              <w:rPr>
                <w:rFonts w:ascii="Times New Roman" w:hAnsi="Times New Roman" w:cs="Times New Roman" w:eastAsia="Times New Roman"/>
                <w:sz w:val="20"/>
                <w:szCs w:val="20"/>
              </w:rPr>
              <w:t xml:space="preserve">HR 0.89 (0.53–1.41)</w:t>
            </w:r>
          </w:p>
        </w:tc>
        <w:tc>
          <w:tcPr/>
          <w:p>
            <w:pPr>
              <w:pStyle w:val="Normal"/>
              <w:jc w:val="left"/>
              <w:spacing w:line="240" w:lineRule="auto" w:after="0"/>
            </w:pPr>
            <w:r>
              <w:rPr>
                <w:rFonts w:ascii="Times New Roman" w:hAnsi="Times New Roman" w:cs="Times New Roman" w:eastAsia="Times New Roman"/>
                <w:sz w:val="20"/>
                <w:szCs w:val="20"/>
              </w:rPr>
              <w:t xml:space="preserve">79.8%</w:t>
            </w:r>
          </w:p>
        </w:tc>
        <w:tc>
          <w:tcPr/>
          <w:p>
            <w:pPr>
              <w:pStyle w:val="Normal"/>
              <w:jc w:val="left"/>
              <w:spacing w:line="240" w:lineRule="auto" w:after="0"/>
            </w:pPr>
            <w:r>
              <w:rPr>
                <w:rFonts w:ascii="Times New Roman" w:hAnsi="Times New Roman" w:cs="Times New Roman" w:eastAsia="Times New Roman"/>
                <w:sz w:val="20"/>
                <w:szCs w:val="20"/>
              </w:rPr>
              <w:t xml:space="preserve">54.7%</w:t>
            </w:r>
          </w:p>
        </w:tc>
        <w:tc>
          <w:tcPr/>
          <w:p>
            <w:pPr>
              <w:pStyle w:val="Normal"/>
              <w:jc w:val="left"/>
              <w:spacing w:line="240" w:lineRule="auto" w:after="0"/>
            </w:pPr>
            <w:r>
              <w:rPr>
                <w:rFonts w:ascii="Times New Roman" w:hAnsi="Times New Roman" w:cs="Times New Roman" w:eastAsia="Times New Roman"/>
                <w:sz w:val="20"/>
                <w:szCs w:val="20"/>
              </w:rPr>
              <w:t xml:space="preserve">24.4%</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0.3</w:t>
            </w:r>
          </w:p>
        </w:tc>
        <w:tc>
          <w:tcPr/>
          <w:p>
            <w:pPr>
              <w:pStyle w:val="Normal"/>
              <w:jc w:val="left"/>
              <w:spacing w:line="240" w:lineRule="auto" w:after="0"/>
            </w:pPr>
            <w:r>
              <w:rPr>
                <w:rFonts w:ascii="Times New Roman" w:hAnsi="Times New Roman" w:cs="Times New Roman" w:eastAsia="Times New Roman"/>
                <w:sz w:val="20"/>
                <w:szCs w:val="20"/>
              </w:rPr>
              <w:t xml:space="preserve">OR 0.74 (0.25–1.43)</w:t>
            </w:r>
          </w:p>
        </w:tc>
        <w:tc>
          <w:tcPr/>
          <w:p>
            <w:pPr>
              <w:pStyle w:val="Normal"/>
              <w:jc w:val="left"/>
              <w:spacing w:line="240" w:lineRule="auto" w:after="0"/>
            </w:pPr>
            <w:r>
              <w:rPr>
                <w:rFonts w:ascii="Times New Roman" w:hAnsi="Times New Roman" w:cs="Times New Roman" w:eastAsia="Times New Roman"/>
                <w:sz w:val="20"/>
                <w:szCs w:val="20"/>
              </w:rPr>
              <w:t xml:space="preserve">80.7%</w:t>
            </w:r>
          </w:p>
        </w:tc>
        <w:tc>
          <w:tcPr/>
          <w:p>
            <w:pPr>
              <w:pStyle w:val="Normal"/>
              <w:jc w:val="left"/>
              <w:spacing w:line="240" w:lineRule="auto" w:after="0"/>
            </w:pPr>
            <w:r>
              <w:rPr>
                <w:rFonts w:ascii="Times New Roman" w:hAnsi="Times New Roman" w:cs="Times New Roman" w:eastAsia="Times New Roman"/>
                <w:sz w:val="20"/>
                <w:szCs w:val="20"/>
              </w:rPr>
              <w:t xml:space="preserve">69.6%</w:t>
            </w:r>
          </w:p>
        </w:tc>
        <w:tc>
          <w:tcPr/>
          <w:p>
            <w:pPr>
              <w:pStyle w:val="Normal"/>
              <w:jc w:val="left"/>
              <w:spacing w:line="240" w:lineRule="auto" w:after="0"/>
            </w:pPr>
            <w:r>
              <w:rPr>
                <w:rFonts w:ascii="Times New Roman" w:hAnsi="Times New Roman" w:cs="Times New Roman" w:eastAsia="Times New Roman"/>
                <w:sz w:val="20"/>
                <w:szCs w:val="20"/>
              </w:rPr>
              <w:t xml:space="preserve">57.4%</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0.3</w:t>
            </w:r>
          </w:p>
        </w:tc>
        <w:tc>
          <w:tcPr/>
          <w:p>
            <w:pPr>
              <w:pStyle w:val="Normal"/>
              <w:jc w:val="left"/>
              <w:spacing w:line="240" w:lineRule="auto" w:after="0"/>
            </w:pPr>
            <w:r>
              <w:rPr>
                <w:rFonts w:ascii="Times New Roman" w:hAnsi="Times New Roman" w:cs="Times New Roman" w:eastAsia="Times New Roman"/>
                <w:sz w:val="20"/>
                <w:szCs w:val="20"/>
              </w:rPr>
              <w:t xml:space="preserve">HR 0.85 (0.55–1.24)</w:t>
            </w:r>
          </w:p>
        </w:tc>
        <w:tc>
          <w:tcPr/>
          <w:p>
            <w:pPr>
              <w:pStyle w:val="Normal"/>
              <w:jc w:val="left"/>
              <w:spacing w:line="240" w:lineRule="auto" w:after="0"/>
            </w:pPr>
            <w:r>
              <w:rPr>
                <w:rFonts w:ascii="Times New Roman" w:hAnsi="Times New Roman" w:cs="Times New Roman" w:eastAsia="Times New Roman"/>
                <w:sz w:val="20"/>
                <w:szCs w:val="20"/>
              </w:rPr>
              <w:t xml:space="preserve">86.5%</w:t>
            </w:r>
          </w:p>
        </w:tc>
        <w:tc>
          <w:tcPr/>
          <w:p>
            <w:pPr>
              <w:pStyle w:val="Normal"/>
              <w:jc w:val="left"/>
              <w:spacing w:line="240" w:lineRule="auto" w:after="0"/>
            </w:pPr>
            <w:r>
              <w:rPr>
                <w:rFonts w:ascii="Times New Roman" w:hAnsi="Times New Roman" w:cs="Times New Roman" w:eastAsia="Times New Roman"/>
                <w:sz w:val="20"/>
                <w:szCs w:val="20"/>
              </w:rPr>
              <w:t xml:space="preserve">66.0%</w:t>
            </w:r>
          </w:p>
        </w:tc>
        <w:tc>
          <w:tcPr/>
          <w:p>
            <w:pPr>
              <w:pStyle w:val="Normal"/>
              <w:jc w:val="left"/>
              <w:spacing w:line="240" w:lineRule="auto" w:after="0"/>
            </w:pPr>
            <w:r>
              <w:rPr>
                <w:rFonts w:ascii="Times New Roman" w:hAnsi="Times New Roman" w:cs="Times New Roman" w:eastAsia="Times New Roman"/>
                <w:sz w:val="20"/>
                <w:szCs w:val="20"/>
              </w:rPr>
              <w:t xml:space="preserve">31.1%</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0.5</w:t>
            </w:r>
          </w:p>
        </w:tc>
        <w:tc>
          <w:tcPr/>
          <w:p>
            <w:pPr>
              <w:pStyle w:val="Normal"/>
              <w:jc w:val="left"/>
              <w:spacing w:line="240" w:lineRule="auto" w:after="0"/>
            </w:pPr>
            <w:r>
              <w:rPr>
                <w:rFonts w:ascii="Times New Roman" w:hAnsi="Times New Roman" w:cs="Times New Roman" w:eastAsia="Times New Roman"/>
                <w:sz w:val="20"/>
                <w:szCs w:val="20"/>
              </w:rPr>
              <w:t xml:space="preserve">OR 0.63 (0.28–1.10)</w:t>
            </w:r>
          </w:p>
        </w:tc>
        <w:tc>
          <w:tcPr/>
          <w:p>
            <w:pPr>
              <w:pStyle w:val="Normal"/>
              <w:jc w:val="left"/>
              <w:spacing w:line="240" w:lineRule="auto" w:after="0"/>
            </w:pPr>
            <w:r>
              <w:rPr>
                <w:rFonts w:ascii="Times New Roman" w:hAnsi="Times New Roman" w:cs="Times New Roman" w:eastAsia="Times New Roman"/>
                <w:sz w:val="20"/>
                <w:szCs w:val="20"/>
              </w:rPr>
              <w:t xml:space="preserve">94.0%</w:t>
            </w:r>
          </w:p>
        </w:tc>
        <w:tc>
          <w:tcPr/>
          <w:p>
            <w:pPr>
              <w:pStyle w:val="Normal"/>
              <w:jc w:val="left"/>
              <w:spacing w:line="240" w:lineRule="auto" w:after="0"/>
            </w:pPr>
            <w:r>
              <w:rPr>
                <w:rFonts w:ascii="Times New Roman" w:hAnsi="Times New Roman" w:cs="Times New Roman" w:eastAsia="Times New Roman"/>
                <w:sz w:val="20"/>
                <w:szCs w:val="20"/>
              </w:rPr>
              <w:t xml:space="preserve">87.2%</w:t>
            </w:r>
          </w:p>
        </w:tc>
        <w:tc>
          <w:tcPr/>
          <w:p>
            <w:pPr>
              <w:pStyle w:val="Normal"/>
              <w:jc w:val="left"/>
              <w:spacing w:line="240" w:lineRule="auto" w:after="0"/>
            </w:pPr>
            <w:r>
              <w:rPr>
                <w:rFonts w:ascii="Times New Roman" w:hAnsi="Times New Roman" w:cs="Times New Roman" w:eastAsia="Times New Roman"/>
                <w:sz w:val="20"/>
                <w:szCs w:val="20"/>
              </w:rPr>
              <w:t xml:space="preserve">76.3%</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0.5</w:t>
            </w:r>
          </w:p>
        </w:tc>
        <w:tc>
          <w:tcPr/>
          <w:p>
            <w:pPr>
              <w:pStyle w:val="Normal"/>
              <w:jc w:val="left"/>
              <w:spacing w:line="240" w:lineRule="auto" w:after="0"/>
            </w:pPr>
            <w:r>
              <w:rPr>
                <w:rFonts w:ascii="Times New Roman" w:hAnsi="Times New Roman" w:cs="Times New Roman" w:eastAsia="Times New Roman"/>
                <w:sz w:val="20"/>
                <w:szCs w:val="20"/>
              </w:rPr>
              <w:t xml:space="preserve">HR 0.82 (0.59–1.10)</w:t>
            </w:r>
          </w:p>
        </w:tc>
        <w:tc>
          <w:tcPr/>
          <w:p>
            <w:pPr>
              <w:pStyle w:val="Normal"/>
              <w:jc w:val="left"/>
              <w:spacing w:line="240" w:lineRule="auto" w:after="0"/>
            </w:pPr>
            <w:r>
              <w:rPr>
                <w:rFonts w:ascii="Times New Roman" w:hAnsi="Times New Roman" w:cs="Times New Roman" w:eastAsia="Times New Roman"/>
                <w:sz w:val="20"/>
                <w:szCs w:val="20"/>
              </w:rPr>
              <w:t xml:space="preserve">93.9%</w:t>
            </w:r>
          </w:p>
        </w:tc>
        <w:tc>
          <w:tcPr/>
          <w:p>
            <w:pPr>
              <w:pStyle w:val="Normal"/>
              <w:jc w:val="left"/>
              <w:spacing w:line="240" w:lineRule="auto" w:after="0"/>
            </w:pPr>
            <w:r>
              <w:rPr>
                <w:rFonts w:ascii="Times New Roman" w:hAnsi="Times New Roman" w:cs="Times New Roman" w:eastAsia="Times New Roman"/>
                <w:sz w:val="20"/>
                <w:szCs w:val="20"/>
              </w:rPr>
              <w:t xml:space="preserve">79.6%</w:t>
            </w:r>
          </w:p>
        </w:tc>
        <w:tc>
          <w:tcPr/>
          <w:p>
            <w:pPr>
              <w:pStyle w:val="Normal"/>
              <w:jc w:val="left"/>
              <w:spacing w:line="240" w:lineRule="auto" w:after="0"/>
            </w:pPr>
            <w:r>
              <w:rPr>
                <w:rFonts w:ascii="Times New Roman" w:hAnsi="Times New Roman" w:cs="Times New Roman" w:eastAsia="Times New Roman"/>
                <w:sz w:val="20"/>
                <w:szCs w:val="20"/>
              </w:rPr>
              <w:t xml:space="preserve">41.9%</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0.7</w:t>
            </w:r>
          </w:p>
        </w:tc>
        <w:tc>
          <w:tcPr/>
          <w:p>
            <w:pPr>
              <w:pStyle w:val="Normal"/>
              <w:jc w:val="left"/>
              <w:spacing w:line="240" w:lineRule="auto" w:after="0"/>
            </w:pPr>
            <w:r>
              <w:rPr>
                <w:rFonts w:ascii="Times New Roman" w:hAnsi="Times New Roman" w:cs="Times New Roman" w:eastAsia="Times New Roman"/>
                <w:sz w:val="20"/>
                <w:szCs w:val="20"/>
              </w:rPr>
              <w:t xml:space="preserve">OR 0.59 (0.29–0.98)</w:t>
            </w:r>
          </w:p>
        </w:tc>
        <w:tc>
          <w:tcPr/>
          <w:p>
            <w:pPr>
              <w:pStyle w:val="Normal"/>
              <w:jc w:val="left"/>
              <w:spacing w:line="240" w:lineRule="auto" w:after="0"/>
            </w:pPr>
            <w:r>
              <w:rPr>
                <w:rFonts w:ascii="Times New Roman" w:hAnsi="Times New Roman" w:cs="Times New Roman" w:eastAsia="Times New Roman"/>
                <w:sz w:val="20"/>
                <w:szCs w:val="20"/>
              </w:rPr>
              <w:t xml:space="preserve">98.1%</w:t>
            </w:r>
          </w:p>
        </w:tc>
        <w:tc>
          <w:tcPr/>
          <w:p>
            <w:pPr>
              <w:pStyle w:val="Normal"/>
              <w:jc w:val="left"/>
              <w:spacing w:line="240" w:lineRule="auto" w:after="0"/>
            </w:pPr>
            <w:r>
              <w:rPr>
                <w:rFonts w:ascii="Times New Roman" w:hAnsi="Times New Roman" w:cs="Times New Roman" w:eastAsia="Times New Roman"/>
                <w:sz w:val="20"/>
                <w:szCs w:val="20"/>
              </w:rPr>
              <w:t xml:space="preserve">94.8%</w:t>
            </w:r>
          </w:p>
        </w:tc>
        <w:tc>
          <w:tcPr/>
          <w:p>
            <w:pPr>
              <w:pStyle w:val="Normal"/>
              <w:jc w:val="left"/>
              <w:spacing w:line="240" w:lineRule="auto" w:after="0"/>
            </w:pPr>
            <w:r>
              <w:rPr>
                <w:rFonts w:ascii="Times New Roman" w:hAnsi="Times New Roman" w:cs="Times New Roman" w:eastAsia="Times New Roman"/>
                <w:sz w:val="20"/>
                <w:szCs w:val="20"/>
              </w:rPr>
              <w:t xml:space="preserve">87.1%</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0.7</w:t>
            </w:r>
          </w:p>
        </w:tc>
        <w:tc>
          <w:tcPr/>
          <w:p>
            <w:pPr>
              <w:pStyle w:val="Normal"/>
              <w:jc w:val="left"/>
              <w:spacing w:line="240" w:lineRule="auto" w:after="0"/>
            </w:pPr>
            <w:r>
              <w:rPr>
                <w:rFonts w:ascii="Times New Roman" w:hAnsi="Times New Roman" w:cs="Times New Roman" w:eastAsia="Times New Roman"/>
                <w:sz w:val="20"/>
                <w:szCs w:val="20"/>
              </w:rPr>
              <w:t xml:space="preserve">HR 0.80 (0.62–1.00)</w:t>
            </w:r>
          </w:p>
        </w:tc>
        <w:tc>
          <w:tcPr/>
          <w:p>
            <w:pPr>
              <w:pStyle w:val="Normal"/>
              <w:jc w:val="left"/>
              <w:spacing w:line="240" w:lineRule="auto" w:after="0"/>
            </w:pPr>
            <w:r>
              <w:rPr>
                <w:rFonts w:ascii="Times New Roman" w:hAnsi="Times New Roman" w:cs="Times New Roman" w:eastAsia="Times New Roman"/>
                <w:sz w:val="20"/>
                <w:szCs w:val="20"/>
              </w:rPr>
              <w:t xml:space="preserve">97.3%</w:t>
            </w:r>
          </w:p>
        </w:tc>
        <w:tc>
          <w:tcPr/>
          <w:p>
            <w:pPr>
              <w:pStyle w:val="Normal"/>
              <w:jc w:val="left"/>
              <w:spacing w:line="240" w:lineRule="auto" w:after="0"/>
            </w:pPr>
            <w:r>
              <w:rPr>
                <w:rFonts w:ascii="Times New Roman" w:hAnsi="Times New Roman" w:cs="Times New Roman" w:eastAsia="Times New Roman"/>
                <w:sz w:val="20"/>
                <w:szCs w:val="20"/>
              </w:rPr>
              <w:t xml:space="preserve">88.3%</w:t>
            </w:r>
          </w:p>
        </w:tc>
        <w:tc>
          <w:tcPr/>
          <w:p>
            <w:pPr>
              <w:pStyle w:val="Normal"/>
              <w:jc w:val="left"/>
              <w:spacing w:line="240" w:lineRule="auto" w:after="0"/>
            </w:pPr>
            <w:r>
              <w:rPr>
                <w:rFonts w:ascii="Times New Roman" w:hAnsi="Times New Roman" w:cs="Times New Roman" w:eastAsia="Times New Roman"/>
                <w:sz w:val="20"/>
                <w:szCs w:val="20"/>
              </w:rPr>
              <w:t xml:space="preserve">49.7%</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1.0 (full weight)</w:t>
            </w:r>
          </w:p>
        </w:tc>
        <w:tc>
          <w:tcPr/>
          <w:p>
            <w:pPr>
              <w:pStyle w:val="Normal"/>
              <w:jc w:val="left"/>
              <w:spacing w:line="240" w:lineRule="auto" w:after="0"/>
            </w:pPr>
            <w:r>
              <w:rPr>
                <w:rFonts w:ascii="Times New Roman" w:hAnsi="Times New Roman" w:cs="Times New Roman" w:eastAsia="Times New Roman"/>
                <w:sz w:val="20"/>
                <w:szCs w:val="20"/>
              </w:rPr>
              <w:t xml:space="preserve">OR 0.55 (0.32–0.87)</w:t>
            </w:r>
          </w:p>
        </w:tc>
        <w:tc>
          <w:tcPr/>
          <w:p>
            <w:pPr>
              <w:pStyle w:val="Normal"/>
              <w:jc w:val="left"/>
              <w:spacing w:line="240" w:lineRule="auto" w:after="0"/>
            </w:pPr>
            <w:r>
              <w:rPr>
                <w:rFonts w:ascii="Times New Roman" w:hAnsi="Times New Roman" w:cs="Times New Roman" w:eastAsia="Times New Roman"/>
                <w:sz w:val="20"/>
                <w:szCs w:val="20"/>
              </w:rPr>
              <w:t xml:space="preserve">99.6%</w:t>
            </w:r>
          </w:p>
        </w:tc>
        <w:tc>
          <w:tcPr/>
          <w:p>
            <w:pPr>
              <w:pStyle w:val="Normal"/>
              <w:jc w:val="left"/>
              <w:spacing w:line="240" w:lineRule="auto" w:after="0"/>
            </w:pPr>
            <w:r>
              <w:rPr>
                <w:rFonts w:ascii="Times New Roman" w:hAnsi="Times New Roman" w:cs="Times New Roman" w:eastAsia="Times New Roman"/>
                <w:sz w:val="20"/>
                <w:szCs w:val="20"/>
              </w:rPr>
              <w:t xml:space="preserve">98.4%</w:t>
            </w:r>
          </w:p>
        </w:tc>
        <w:tc>
          <w:tcPr/>
          <w:p>
            <w:pPr>
              <w:pStyle w:val="Normal"/>
              <w:jc w:val="left"/>
              <w:spacing w:line="240" w:lineRule="auto" w:after="0"/>
            </w:pPr>
            <w:r>
              <w:rPr>
                <w:rFonts w:ascii="Times New Roman" w:hAnsi="Times New Roman" w:cs="Times New Roman" w:eastAsia="Times New Roman"/>
                <w:sz w:val="20"/>
                <w:szCs w:val="20"/>
              </w:rPr>
              <w:t xml:space="preserve">94.4%</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1.0 (full weight)</w:t>
            </w:r>
          </w:p>
        </w:tc>
        <w:tc>
          <w:tcPr/>
          <w:p>
            <w:pPr>
              <w:pStyle w:val="Normal"/>
              <w:jc w:val="left"/>
              <w:spacing w:line="240" w:lineRule="auto" w:after="0"/>
            </w:pPr>
            <w:r>
              <w:rPr>
                <w:rFonts w:ascii="Times New Roman" w:hAnsi="Times New Roman" w:cs="Times New Roman" w:eastAsia="Times New Roman"/>
                <w:sz w:val="20"/>
                <w:szCs w:val="20"/>
              </w:rPr>
              <w:t xml:space="preserve">HR 0.78 (0.64–0.93)</w:t>
            </w:r>
          </w:p>
        </w:tc>
        <w:tc>
          <w:tcPr/>
          <w:p>
            <w:pPr>
              <w:pStyle w:val="Normal"/>
              <w:jc w:val="left"/>
              <w:spacing w:line="240" w:lineRule="auto" w:after="0"/>
            </w:pPr>
            <w:r>
              <w:rPr>
                <w:rFonts w:ascii="Times New Roman" w:hAnsi="Times New Roman" w:cs="Times New Roman" w:eastAsia="Times New Roman"/>
                <w:sz w:val="20"/>
                <w:szCs w:val="20"/>
              </w:rPr>
              <w:t xml:space="preserve">99.3%</w:t>
            </w:r>
          </w:p>
        </w:tc>
        <w:tc>
          <w:tcPr/>
          <w:p>
            <w:pPr>
              <w:pStyle w:val="Normal"/>
              <w:jc w:val="left"/>
              <w:spacing w:line="240" w:lineRule="auto" w:after="0"/>
            </w:pPr>
            <w:r>
              <w:rPr>
                <w:rFonts w:ascii="Times New Roman" w:hAnsi="Times New Roman" w:cs="Times New Roman" w:eastAsia="Times New Roman"/>
                <w:sz w:val="20"/>
                <w:szCs w:val="20"/>
              </w:rPr>
              <w:t xml:space="preserve">95.7%</w:t>
            </w:r>
          </w:p>
        </w:tc>
        <w:tc>
          <w:tcPr/>
          <w:p>
            <w:pPr>
              <w:pStyle w:val="Normal"/>
              <w:jc w:val="left"/>
              <w:spacing w:line="240" w:lineRule="auto" w:after="0"/>
            </w:pPr>
            <w:r>
              <w:rPr>
                <w:rFonts w:ascii="Times New Roman" w:hAnsi="Times New Roman" w:cs="Times New Roman" w:eastAsia="Times New Roman"/>
                <w:sz w:val="20"/>
                <w:szCs w:val="20"/>
              </w:rPr>
              <w:t xml:space="preserve">63.3%</w:t>
            </w:r>
          </w:p>
        </w:tc>
      </w:tr>
    </w:tbl>
    <w:p>
      <w:pPr>
        <w:jc w:val="center"/>
      </w:pPr>
      <w:r>
        <w:drawing>
          <wp:inline xmlns:a="http://schemas.openxmlformats.org/drawingml/2006/main" xmlns:pic="http://schemas.openxmlformats.org/drawingml/2006/picture">
            <wp:extent cx="5029200" cy="2061328"/>
            <wp:docPr id="6" name="Picture 6"/>
            <wp:cNvGraphicFramePr>
              <a:graphicFrameLocks noChangeAspect="1"/>
            </wp:cNvGraphicFramePr>
            <a:graphic>
              <a:graphicData uri="http://schemas.openxmlformats.org/drawingml/2006/picture">
                <pic:pic>
                  <pic:nvPicPr>
                    <pic:cNvPr id="0" name="fig7_sensitivity_analysis.png"/>
                    <pic:cNvPicPr/>
                  </pic:nvPicPr>
                  <pic:blipFill>
                    <a:blip r:embed="rId15"/>
                    <a:stretch>
                      <a:fillRect/>
                    </a:stretch>
                  </pic:blipFill>
                  <pic:spPr>
                    <a:xfrm>
                      <a:off x="0" y="0"/>
                      <a:ext cx="5029200" cy="2061328"/>
                    </a:xfrm>
                    <a:prstGeom prst="rect"/>
                  </pic:spPr>
                </pic:pic>
              </a:graphicData>
            </a:graphic>
          </wp:inline>
        </w:drawing>
      </w:r>
    </w:p>
    <w:p>
      <w:pPr>
        <w:jc w:val="left"/>
      </w:pPr>
      <w:r>
        <w:rPr>
          <w:rFonts w:ascii="Times New Roman" w:hAnsi="Times New Roman"/>
          <w:b/>
          <w:sz w:val="20"/>
        </w:rPr>
        <w:t xml:space="preserve">Figure 6. </w:t>
      </w:r>
      <w:r>
        <w:rPr>
          <w:rFonts w:ascii="Times New Roman" w:hAnsi="Times New Roman"/>
          <w:sz w:val="20"/>
        </w:rPr>
        <w:t>Sensitivity analysis of Bayesian integration to the discounting parameter α. (A) Magnesium in AMI. (B) Statins in HF. Three posterior probability thresholds are shown: P(effect &lt; 1.0), P(effect &lt; 0.90), and P(effect &lt; 0.80). Horizontal dashed line indicates 95% probability.</w:t>
      </w:r>
    </w:p>
    <w:p>
      <w:pPr>
        <w:pStyle w:val="Heading3"/>
      </w:pPr>
      <w:r>
        <w:rPr>
          <w:rFonts w:ascii="Times New Roman" w:hAnsi="Times New Roman"/>
          <w:b/>
          <w:color w:val="000000"/>
          <w:sz w:val="24"/>
        </w:rPr>
        <w:t>Module H assessment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results are summarized in Table 4 and Fig. 7. For magnesium, the OIS for the pre-ISIS-4 effect was 85 events and the observed total was 4,617 (information fraction 5426%). The TSA efficacy boundary was crossed under random-effects accumulation, but the pooled estimate was dominated by high between-study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The appropriate KOTHA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inconsistency (heterogeneity)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(TSA/CI indicate benefit but the signal is downgraded by serious inconsistency (heterogeneity)). For statins, if the observational effect (HR 0.72) represented the true effect in the target population, the required information size would be 279 events; the RCTs contributed 1,385 events (information fraction 496%). The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-0.74, the efficacy boundary was not crossed, and the event rate ratio was 0.51; the appropriate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indirectness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(OIS reached but no TSA/CI boundary crossed; serious indirectness from enrollment-driven event dilution). In both cases, standard GRADE would be more likely to conclude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no benefit demonstrated,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whereas KOTHA explicitly labels the evidence as informationally insufficient.</w:t>
      </w:r>
    </w:p>
    <w:p>
      <w:r>
        <w:rPr>
          <w:rFonts w:ascii="Times New Roman" w:hAnsi="Times New Roman"/>
          <w:b/>
          <w:i w:val="0"/>
          <w:sz w:val="24"/>
        </w:rPr>
        <w:t>Table 4: Module H assessment --- Standard GRADE vs. KOTHA-enhanced</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584"/>
        <w:gridCol w:w="1584"/>
        <w:gridCol w:w="1584"/>
        <w:gridCol w:w="1584"/>
        <w:gridCol w:w="1584"/>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GRADE domain</w:t>
            </w:r>
          </w:p>
        </w:tc>
        <w:tc>
          <w:tcPr/>
          <w:p>
            <w:pPr>
              <w:pStyle w:val="Normal"/>
              <w:jc w:val="left"/>
              <w:spacing w:line="240" w:lineRule="auto" w:after="0"/>
            </w:pPr>
            <w:r>
              <w:rPr>
                <w:rFonts w:ascii="Times New Roman" w:hAnsi="Times New Roman" w:cs="Times New Roman" w:eastAsia="Times New Roman"/>
                <w:sz w:val="20"/>
                <w:szCs w:val="20"/>
                <w:b/>
              </w:rPr>
              <w:t xml:space="preserve">Standard (Mg in AMI)</w:t>
            </w:r>
          </w:p>
        </w:tc>
        <w:tc>
          <w:tcPr/>
          <w:p>
            <w:pPr>
              <w:pStyle w:val="Normal"/>
              <w:jc w:val="left"/>
              <w:spacing w:line="240" w:lineRule="auto" w:after="0"/>
            </w:pPr>
            <w:r>
              <w:rPr>
                <w:rFonts w:ascii="Times New Roman" w:hAnsi="Times New Roman" w:cs="Times New Roman" w:eastAsia="Times New Roman"/>
                <w:sz w:val="20"/>
                <w:szCs w:val="20"/>
                <w:b/>
              </w:rPr>
              <w:t xml:space="preserve">KOTHA (Mg in AMI)</w:t>
            </w:r>
          </w:p>
        </w:tc>
        <w:tc>
          <w:tcPr/>
          <w:p>
            <w:pPr>
              <w:pStyle w:val="Normal"/>
              <w:jc w:val="left"/>
              <w:spacing w:line="240" w:lineRule="auto" w:after="0"/>
            </w:pPr>
            <w:r>
              <w:rPr>
                <w:rFonts w:ascii="Times New Roman" w:hAnsi="Times New Roman" w:cs="Times New Roman" w:eastAsia="Times New Roman"/>
                <w:sz w:val="20"/>
                <w:szCs w:val="20"/>
                <w:b/>
              </w:rPr>
              <w:t xml:space="preserve">Standard (Statins HF)</w:t>
            </w:r>
          </w:p>
        </w:tc>
        <w:tc>
          <w:tcPr/>
          <w:p>
            <w:pPr>
              <w:pStyle w:val="Normal"/>
              <w:jc w:val="left"/>
              <w:spacing w:line="240" w:lineRule="auto" w:after="0"/>
            </w:pPr>
            <w:r>
              <w:rPr>
                <w:rFonts w:ascii="Times New Roman" w:hAnsi="Times New Roman" w:cs="Times New Roman" w:eastAsia="Times New Roman"/>
                <w:sz w:val="20"/>
                <w:szCs w:val="20"/>
                <w:b/>
              </w:rPr>
              <w:t xml:space="preserve">KOTHA (Statins HF)</w:t>
            </w:r>
          </w:p>
        </w:tc>
      </w:tr>
      <w:tr>
        <w:tc>
          <w:tcPr/>
          <w:p>
            <w:pPr>
              <w:pStyle w:val="Normal"/>
              <w:jc w:val="left"/>
              <w:spacing w:line="240" w:lineRule="auto" w:after="0"/>
            </w:pPr>
            <w:r>
              <w:rPr>
                <w:rFonts w:ascii="Times New Roman" w:hAnsi="Times New Roman" w:cs="Times New Roman" w:eastAsia="Times New Roman"/>
                <w:sz w:val="20"/>
                <w:szCs w:val="20"/>
              </w:rPr>
              <w:t xml:space="preserve">Risk of bias</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r>
      <w:tr>
        <w:tc>
          <w:tcPr/>
          <w:p>
            <w:pPr>
              <w:pStyle w:val="Normal"/>
              <w:jc w:val="left"/>
              <w:spacing w:line="240" w:lineRule="auto" w:after="0"/>
            </w:pPr>
            <w:r>
              <w:rPr>
                <w:rFonts w:ascii="Times New Roman" w:hAnsi="Times New Roman" w:cs="Times New Roman" w:eastAsia="Times New Roman"/>
                <w:sz w:val="20"/>
                <w:szCs w:val="20"/>
              </w:rPr>
              <w:t xml:space="preserve">Inconsistency</w:t>
            </w:r>
          </w:p>
        </w:tc>
        <w:tc>
          <w:tcPr/>
          <w:p>
            <w:pPr>
              <w:pStyle w:val="Normal"/>
              <w:jc w:val="left"/>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jc w:val="left"/>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jc w:val="left"/>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c>
          <w:tcPr/>
          <w:p>
            <w:pPr>
              <w:pStyle w:val="Normal"/>
              <w:jc w:val="left"/>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r>
      <w:tr>
        <w:tc>
          <w:tcPr/>
          <w:p>
            <w:pPr>
              <w:pStyle w:val="Normal"/>
              <w:jc w:val="left"/>
              <w:spacing w:line="240" w:lineRule="auto" w:after="0"/>
            </w:pPr>
            <w:r>
              <w:rPr>
                <w:rFonts w:ascii="Times New Roman" w:hAnsi="Times New Roman" w:cs="Times New Roman" w:eastAsia="Times New Roman"/>
                <w:sz w:val="20"/>
                <w:szCs w:val="20"/>
              </w:rPr>
              <w:t xml:space="preserve">Indirectness</w:t>
            </w:r>
          </w:p>
        </w:tc>
        <w:tc>
          <w:tcPr/>
          <w:p>
            <w:pPr>
              <w:pStyle w:val="Normal"/>
              <w:jc w:val="left"/>
              <w:spacing w:line="240" w:lineRule="auto" w:after="0"/>
            </w:pPr>
            <w:r>
              <w:rPr>
                <w:rFonts w:ascii="Times New Roman" w:hAnsi="Times New Roman" w:cs="Times New Roman" w:eastAsia="Times New Roman"/>
                <w:sz w:val="20"/>
                <w:szCs w:val="20"/>
              </w:rPr>
              <w:t xml:space="preserve">Not assessed</w:t>
            </w:r>
          </w:p>
        </w:tc>
        <w:tc>
          <w:tcPr/>
          <w:p>
            <w:pPr>
              <w:pStyle w:val="Normal"/>
              <w:jc w:val="left"/>
              <w:spacing w:line="240" w:lineRule="auto" w:after="0"/>
            </w:pPr>
            <w:r>
              <w:rPr>
                <w:rFonts w:ascii="Times New Roman" w:hAnsi="Times New Roman" w:cs="Times New Roman" w:eastAsia="Times New Roman"/>
                <w:sz w:val="20"/>
                <w:szCs w:val="20"/>
              </w:rPr>
              <w:t xml:space="preserve">Low: event rate decreased by 18%</w:t>
            </w:r>
          </w:p>
        </w:tc>
        <w:tc>
          <w:tcPr/>
          <w:p>
            <w:pPr>
              <w:pStyle w:val="Normal"/>
              <w:jc w:val="left"/>
              <w:spacing w:line="240" w:lineRule="auto" w:after="0"/>
            </w:pPr>
            <w:r>
              <w:rPr>
                <w:rFonts w:ascii="Times New Roman" w:hAnsi="Times New Roman" w:cs="Times New Roman" w:eastAsia="Times New Roman"/>
                <w:sz w:val="20"/>
                <w:szCs w:val="20"/>
              </w:rPr>
              <w:t xml:space="preserve">Not assessed</w:t>
            </w:r>
          </w:p>
        </w:tc>
        <w:tc>
          <w:tcPr/>
          <w:p>
            <w:pPr>
              <w:pStyle w:val="Normal"/>
              <w:jc w:val="left"/>
              <w:spacing w:line="240" w:lineRule="auto" w:after="0"/>
            </w:pPr>
            <w:r>
              <w:rPr>
                <w:rFonts w:ascii="Times New Roman" w:hAnsi="Times New Roman" w:cs="Times New Roman" w:eastAsia="Times New Roman"/>
                <w:sz w:val="20"/>
                <w:szCs w:val="20"/>
              </w:rPr>
              <w:t xml:space="preserve">Serious: event rate decreased by 49%</w:t>
            </w:r>
          </w:p>
        </w:tc>
      </w:tr>
      <w:tr>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Not serious (OIS met)</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null)</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clinically important benefit)</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clinically important benefit)</w:t>
            </w:r>
          </w:p>
        </w:tc>
      </w:tr>
      <w:tr>
        <w:tc>
          <w:tcPr/>
          <w:p>
            <w:pPr>
              <w:pStyle w:val="Normal"/>
              <w:jc w:val="left"/>
              <w:spacing w:line="240" w:lineRule="auto" w:after="0"/>
            </w:pPr>
            <w:r>
              <w:rPr>
                <w:rFonts w:ascii="Times New Roman" w:hAnsi="Times New Roman" w:cs="Times New Roman" w:eastAsia="Times New Roman"/>
                <w:sz w:val="20"/>
                <w:szCs w:val="20"/>
              </w:rPr>
              <w:t xml:space="preserve">Overall certainty</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High</w:t>
            </w:r>
          </w:p>
        </w:tc>
        <w:tc>
          <w:tcPr/>
          <w:p>
            <w:pPr>
              <w:pStyle w:val="Normal"/>
              <w:jc w:val="left"/>
              <w:spacing w:line="240" w:lineRule="auto" w:after="0"/>
            </w:pPr>
            <w:r>
              <w:rPr>
                <w:rFonts w:ascii="Times New Roman" w:hAnsi="Times New Roman" w:cs="Times New Roman" w:eastAsia="Times New Roman"/>
                <w:sz w:val="20"/>
                <w:szCs w:val="20"/>
              </w:rPr>
              <w:t xml:space="preserve">Low</w:t>
            </w:r>
          </w:p>
        </w:tc>
      </w:tr>
      <w:tr>
        <w:tc>
          <w:tcPr/>
          <w:p>
            <w:pPr>
              <w:pStyle w:val="Normal"/>
              <w:jc w:val="left"/>
              <w:spacing w:line="240" w:lineRule="auto" w:after="0"/>
            </w:pPr>
            <w:r>
              <w:rPr>
                <w:rFonts w:ascii="Times New Roman" w:hAnsi="Times New Roman" w:cs="Times New Roman" w:eastAsia="Times New Roman"/>
                <w:sz w:val="20"/>
                <w:szCs w:val="20"/>
              </w:rPr>
              <w:t xml:space="preserve">Recommendation</w:t>
            </w:r>
          </w:p>
        </w:tc>
        <w:tc>
          <w:tcPr/>
          <w:p>
            <w:pPr>
              <w:pStyle w:val="Normal"/>
              <w:jc w:val="left"/>
              <w:spacing w:line="240" w:lineRule="auto" w:after="0"/>
            </w:pP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No benefit demonstrated</w:t>
            </w:r>
            <w:r>
              <w:rPr>
                <w:rFonts w:ascii="Times New Roman" w:hAnsi="Times New Roman" w:cs="Times New Roman" w:eastAsia="Times New Roman"/>
                <w:sz w:val="20"/>
                <w:szCs w:val="20"/>
              </w:rPr>
              <w:t xml:space="preserve">”</w:t>
            </w:r>
          </w:p>
        </w:tc>
        <w:tc>
          <w:tcPr/>
          <w:p>
            <w:pPr>
              <w:pStyle w:val="Normal"/>
              <w:jc w:val="left"/>
              <w:spacing w:line="240" w:lineRule="auto" w:after="0"/>
            </w:pP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Inconclusive; conditional recommendation</w:t>
            </w:r>
            <w:r>
              <w:rPr>
                <w:rFonts w:ascii="Times New Roman" w:hAnsi="Times New Roman" w:cs="Times New Roman" w:eastAsia="Times New Roman"/>
                <w:sz w:val="20"/>
                <w:szCs w:val="20"/>
              </w:rPr>
              <w:t xml:space="preserve">”</w:t>
            </w:r>
          </w:p>
        </w:tc>
        <w:tc>
          <w:tcPr/>
          <w:p>
            <w:pPr>
              <w:pStyle w:val="Normal"/>
              <w:jc w:val="left"/>
              <w:spacing w:line="240" w:lineRule="auto" w:after="0"/>
            </w:pP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No benefit demonstrated</w:t>
            </w:r>
            <w:r>
              <w:rPr>
                <w:rFonts w:ascii="Times New Roman" w:hAnsi="Times New Roman" w:cs="Times New Roman" w:eastAsia="Times New Roman"/>
                <w:sz w:val="20"/>
                <w:szCs w:val="20"/>
              </w:rPr>
              <w:t xml:space="preserve">”</w:t>
            </w:r>
          </w:p>
        </w:tc>
        <w:tc>
          <w:tcPr/>
          <w:p>
            <w:pPr>
              <w:pStyle w:val="Normal"/>
              <w:jc w:val="left"/>
              <w:spacing w:line="240" w:lineRule="auto" w:after="0"/>
            </w:pPr>
            <w:r>
              <w:rPr>
                <w:rFonts w:ascii="Times New Roman" w:hAnsi="Times New Roman" w:cs="Times New Roman" w:eastAsia="Times New Roman"/>
                <w:sz w:val="20"/>
                <w:szCs w:val="20"/>
              </w:rPr>
              <w:t xml:space="preserve">“</w:t>
            </w:r>
            <w:r>
              <w:rPr>
                <w:rFonts w:ascii="Times New Roman" w:hAnsi="Times New Roman" w:cs="Times New Roman" w:eastAsia="Times New Roman"/>
                <w:sz w:val="20"/>
                <w:szCs w:val="20"/>
              </w:rPr>
              <w:t xml:space="preserve">Inconclusive; conditional recommendation</w:t>
            </w:r>
            <w:r>
              <w:rPr>
                <w:rFonts w:ascii="Times New Roman" w:hAnsi="Times New Roman" w:cs="Times New Roman" w:eastAsia="Times New Roman"/>
                <w:sz w:val="20"/>
                <w:szCs w:val="20"/>
              </w:rPr>
              <w:t xml:space="preserve">”</w:t>
            </w:r>
          </w:p>
        </w:tc>
      </w:tr>
    </w:tbl>
    <w:p>
      <w:pPr>
        <w:jc w:val="center"/>
      </w:pPr>
      <w:r>
        <w:drawing>
          <wp:inline xmlns:a="http://schemas.openxmlformats.org/drawingml/2006/main" xmlns:pic="http://schemas.openxmlformats.org/drawingml/2006/picture">
            <wp:extent cx="5029200" cy="2416071"/>
            <wp:docPr id="7" name="Picture 7"/>
            <wp:cNvGraphicFramePr>
              <a:graphicFrameLocks noChangeAspect="1"/>
            </wp:cNvGraphicFramePr>
            <a:graphic>
              <a:graphicData uri="http://schemas.openxmlformats.org/drawingml/2006/picture">
                <pic:pic>
                  <pic:nvPicPr>
                    <pic:cNvPr id="0" name="fig8_module_h_comparison.png"/>
                    <pic:cNvPicPr/>
                  </pic:nvPicPr>
                  <pic:blipFill>
                    <a:blip r:embed="rId16"/>
                    <a:stretch>
                      <a:fillRect/>
                    </a:stretch>
                  </pic:blipFill>
                  <pic:spPr>
                    <a:xfrm>
                      <a:off x="0" y="0"/>
                      <a:ext cx="5029200" cy="2416071"/>
                    </a:xfrm>
                    <a:prstGeom prst="rect"/>
                  </pic:spPr>
                </pic:pic>
              </a:graphicData>
            </a:graphic>
          </wp:inline>
        </w:drawing>
      </w:r>
    </w:p>
    <w:p>
      <w:pPr>
        <w:jc w:val="left"/>
      </w:pPr>
      <w:r>
        <w:rPr>
          <w:rFonts w:ascii="Times New Roman" w:hAnsi="Times New Roman"/>
          <w:b/>
          <w:sz w:val="20"/>
        </w:rPr>
        <w:t xml:space="preserve">Figure 7. </w:t>
      </w:r>
      <w:r>
        <w:rPr>
          <w:rFonts w:ascii="Times New Roman" w:hAnsi="Times New Roman"/>
          <w:sz w:val="20"/>
        </w:rPr>
        <w:t>Module H assessment comparison: standard GRADE vs. KOTHA-enhanced evaluation for both illustrative cases. Color coding indicates severity of concern (green = no concern, yellow = moderate, red = serious).</w:t>
      </w:r>
    </w:p>
    <w:p>
      <w:pPr>
        <w:pStyle w:val="Heading2"/>
      </w:pPr>
      <w:r>
        <w:rPr>
          <w:rFonts w:ascii="Times New Roman" w:hAnsi="Times New Roman"/>
          <w:b/>
          <w:color w:val="000000"/>
          <w:sz w:val="24"/>
        </w:rPr>
        <w:t>4. Discussion</w:t>
      </w:r>
    </w:p>
    <w:p>
      <w:pPr>
        <w:pStyle w:val="Heading3"/>
      </w:pPr>
      <w:r>
        <w:rPr>
          <w:rFonts w:ascii="Times New Roman" w:hAnsi="Times New Roman"/>
          <w:b/>
          <w:color w:val="000000"/>
          <w:sz w:val="24"/>
        </w:rPr>
        <w:t>Principal findings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integrates counterfactual power simulation, Bayesian evidence synthesis, and structured GRADE interpretation to diagnose structural information loss in RCT meta-analyses. In the magnesium case, Module K identified a 18% temporal decline in control event rates from the pre-thrombolysis era to ISIS-4. The divergence between pre-ISIS-4 and all-trials estimates is better explained by era-dependent treatment effect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than by simple underpowering. In the statins case, Module K showed that RCT populations had roughly half the event rate of observational cohorts, and that power for a modest effect (HR = 0.85) dropped from 98% to 83%. Module T demonstrated that even modest borrowing from observational evidence shifted posterior probabilities of benefit substantially, but uncertainty remained. Module H classified magnesium as inconclusive with serious inconsistency (heterogeneity), and statins as inconclusive with serious indirectness, rather than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evidence of no effect.</w:t>
      </w:r>
      <w:r>
        <w:rPr>
          <w:rFonts w:ascii="Times New Roman" w:hAnsi="Times New Roman" w:cs="Times New Roman" w:eastAsia="Times New Roman"/>
          <w:sz w:val="24"/>
          <w:szCs w:val="24"/>
        </w:rPr>
        <w:t xml:space="preserve">”</w:t>
      </w:r>
    </w:p>
    <w:p>
      <w:pPr>
        <w:pStyle w:val="Heading3"/>
      </w:pPr>
      <w:r>
        <w:rPr>
          <w:rFonts w:ascii="Times New Roman" w:hAnsi="Times New Roman"/>
          <w:b/>
          <w:color w:val="000000"/>
          <w:sz w:val="24"/>
        </w:rPr>
        <w:t>Implications for clinical trial design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has direct prospective value. Before a trial is conducted, investigators can use published or registry-derived event rates for the target population (S1), for the population expected to enroll under current eligibility criteria (S2), and for an enriched design (S3). This comparison can inform four design decisions: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Sample size</w:t>
      </w:r>
      <w:r>
        <w:rPr>
          <w:rFonts w:ascii="Times New Roman" w:hAnsi="Times New Roman" w:cs="Times New Roman" w:eastAsia="Times New Roman"/>
          <w:sz w:val="24"/>
          <w:szCs w:val="24"/>
        </w:rPr>
        <w:t xml:space="preserve">: required N can be calculated under S2 and S3 rather than under an assumed event rate that may not materialize.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Eligibility criteria</w:t>
      </w:r>
      <w:r>
        <w:rPr>
          <w:rFonts w:ascii="Times New Roman" w:hAnsi="Times New Roman" w:cs="Times New Roman" w:eastAsia="Times New Roman"/>
          <w:sz w:val="24"/>
          <w:szCs w:val="24"/>
        </w:rPr>
        <w:t xml:space="preserve">: the information cost of excluding high-risk subgroups can be quantified and balanced against safety considerations.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Enrichment thresholds</w:t>
      </w:r>
      <w:r>
        <w:rPr>
          <w:rFonts w:ascii="Times New Roman" w:hAnsi="Times New Roman" w:cs="Times New Roman" w:eastAsia="Times New Roman"/>
          <w:sz w:val="24"/>
          <w:szCs w:val="24"/>
        </w:rPr>
        <w:t xml:space="preserve">: a minimum proportion of high-risk patients can be prespecified and powered.</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Endpoints and follow-up</w:t>
      </w:r>
      <w:r>
        <w:rPr>
          <w:rFonts w:ascii="Times New Roman" w:hAnsi="Times New Roman" w:cs="Times New Roman" w:eastAsia="Times New Roman"/>
          <w:sz w:val="24"/>
          <w:szCs w:val="24"/>
        </w:rPr>
        <w:t xml:space="preserve">: when the primary event rate is diluted, composite endpoints or longer follow-up can be evaluated.</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In this way, KOTHA moves the design conversation from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what sample size do we need under the planned effect?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what sample size do we need under the event rate we will actually observe in the enrolled population?</w:t>
      </w:r>
      <w:r>
        <w:rPr>
          <w:rFonts w:ascii="Times New Roman" w:hAnsi="Times New Roman" w:cs="Times New Roman" w:eastAsia="Times New Roman"/>
          <w:sz w:val="24"/>
          <w:szCs w:val="24"/>
        </w:rPr>
        <w:t xml:space="preserve">”</w:t>
      </w:r>
    </w:p>
    <w:p>
      <w:pPr>
        <w:pStyle w:val="Heading3"/>
      </w:pPr>
      <w:r>
        <w:rPr>
          <w:rFonts w:ascii="Times New Roman" w:hAnsi="Times New Roman"/>
          <w:b/>
          <w:color w:val="000000"/>
          <w:sz w:val="24"/>
        </w:rPr>
        <w:t>Comparison with existing methods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Target trial emulation uses observational data to mimic a specific RCT in order to estimate a causal effect </w:t>
      </w:r>
      <w:r>
        <w:rPr>
          <w:rFonts w:ascii="Times New Roman" w:hAnsi="Times New Roman" w:cs="Times New Roman" w:eastAsia="Times New Roman"/>
          <w:sz w:val="24"/>
          <w:szCs w:val="24"/>
          <w:vertAlign w:val="superscript"/>
        </w:rPr>
        <w:t xml:space="preserve">[27-28]</w:t>
      </w:r>
      <w:r>
        <w:rPr>
          <w:rFonts w:ascii="Times New Roman" w:hAnsi="Times New Roman" w:cs="Times New Roman" w:eastAsia="Times New Roman"/>
          <w:sz w:val="24"/>
          <w:szCs w:val="24"/>
        </w:rPr>
        <w:t xml:space="preserve">. Module K is complementary: it does not estimate effects but quantifies the information lost due to enrollment decisions. Existing methods for combining RCT and observational evidence include hierarchical models, power priors, and meta-analytic-predictive priors </w:t>
      </w:r>
      <w:r>
        <w:rPr>
          <w:rFonts w:ascii="Times New Roman" w:hAnsi="Times New Roman" w:cs="Times New Roman" w:eastAsia="Times New Roman"/>
          <w:sz w:val="24"/>
          <w:szCs w:val="24"/>
          <w:vertAlign w:val="superscript"/>
        </w:rPr>
        <w:t xml:space="preserve">[29-31]</w:t>
      </w:r>
      <w:r>
        <w:rPr>
          <w:rFonts w:ascii="Times New Roman" w:hAnsi="Times New Roman" w:cs="Times New Roman" w:eastAsia="Times New Roman"/>
          <w:sz w:val="24"/>
          <w:szCs w:val="24"/>
        </w:rPr>
        <w:t xml:space="preserve">. Module T builds on these but embeds them in a broader workflow that first diagnoses the need for integration and then interprets the result through Module H. TSA and OIS are well established </w:t>
      </w:r>
      <w:r>
        <w:rPr>
          <w:rFonts w:ascii="Times New Roman" w:hAnsi="Times New Roman" w:cs="Times New Roman" w:eastAsia="Times New Roman"/>
          <w:sz w:val="24"/>
          <w:szCs w:val="24"/>
          <w:vertAlign w:val="superscript"/>
        </w:rPr>
        <w:t xml:space="preserve">[6-9]</w:t>
      </w:r>
      <w:r>
        <w:rPr>
          <w:rFonts w:ascii="Times New Roman" w:hAnsi="Times New Roman" w:cs="Times New Roman" w:eastAsia="Times New Roman"/>
          <w:sz w:val="24"/>
          <w:szCs w:val="24"/>
        </w:rPr>
        <w:t xml:space="preserve">, but are not routinely used to quantify risk-profile shifts. GRADE provides domains for assessment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KOTHA provides quantitative inputs to the imprecision and indirectness domains without changing GRADE’s structure.</w:t>
      </w:r>
    </w:p>
    <w:p>
      <w:pPr>
        <w:pStyle w:val="Heading3"/>
      </w:pPr>
      <w:r>
        <w:rPr>
          <w:rFonts w:ascii="Times New Roman" w:hAnsi="Times New Roman"/>
          <w:b/>
          <w:color w:val="000000"/>
          <w:sz w:val="24"/>
        </w:rPr>
        <w:t>Strengths and limitations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framework is reproducible from published aggregate data, follows the ADEMP reporting structure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 and is illustrated with real, well-documented cases rather than synthetic examples. The modular design allows each component to be used independently.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Limitations should be acknowledged:</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cases are retrospective applications of the framework to published aggregate data; individual patient data would strengthen risk-profile stratification and adjustment for confounders, and ecological bias may affect the representativeness assessment.</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observational and RCT crude event proportions are aggregate study-level values, so the comparison is ecological and may not reflect within-individual risk differences.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hazard-ratio-to-odds-ratio approximation and the use of a crude event proportion (rather than an event rate per person-time) mean Module K estimates relative power loss across enrollment scenarios, not a definitive sample size for a specific follow-up.</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S3 enrichment target is set at the midpoint between the observational and RCT crude proportions as an illustration; other thresholds would yield different power curves.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spans the pre-thrombolysis and thrombolysis eras, so temporal changes in standard care, case mix, and outcome ascertainment create treatment-era confounding that cannot be fully controlled with aggregate data.</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Prospective validation against trials whose results are not yet known would be stronger.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Module T treats the discounting parameter</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as a fixed sensitivity parameter and is therefore sensitive to assumptions about residual confounding; we present the full grid of values but do not claim a single preferred</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involves genuine treatment-effect heterogeneity across thrombolysis eras, which Module K identifies but cannot fully explain.</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Finally, adoption by guideline groups will require institutional change beyond the method itself.</w:t>
      </w:r>
    </w:p>
    <w:p>
      <w:pPr>
        <w:pStyle w:val="Heading2"/>
      </w:pPr>
      <w:r>
        <w:rPr>
          <w:rFonts w:ascii="Times New Roman" w:hAnsi="Times New Roman"/>
          <w:b/>
          <w:color w:val="000000"/>
          <w:sz w:val="24"/>
        </w:rPr>
        <w:t>5. Conclusions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(Knowledge-driven Observational-Trial Harmonization Approach) addresses structural information loss in RCT meta-analyses through counterfactual power simulation, hierarchical Bayesian evidence integration, and structured GRADE-compatible interpretation. Empirical application to magnesium in AMI and statins in heart failure demonstrates that the framework can identify enrollment-driven event dilution, quantify its impact on statistical power, and produce more nuanced evidence assessments than standard approaches. By translating these diagnostics into prespecified sample size, eligibility, enrichment, and endpoint decisions, KOTHA offers a reproducible design aid for future clinical trials.</w:t>
      </w:r>
    </w:p>
    <w:p>
      <w:pPr>
        <w:pStyle w:val="Heading2"/>
      </w:pPr>
      <w:r>
        <w:rPr>
          <w:rFonts w:ascii="Times New Roman" w:hAnsi="Times New Roman"/>
          <w:b/>
          <w:color w:val="000000"/>
          <w:sz w:val="24"/>
        </w:rPr>
        <w:t>Declarations</w:t>
      </w:r>
    </w:p>
    <w:p>
      <w:pPr>
        <w:pStyle w:val="Heading3"/>
      </w:pPr>
      <w:r>
        <w:rPr>
          <w:rFonts w:ascii="Times New Roman" w:hAnsi="Times New Roman"/>
          <w:b/>
          <w:color w:val="000000"/>
          <w:sz w:val="24"/>
        </w:rPr>
        <w:t>Ethics approval and consent to participate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study proposes a methodological framework and uses only published aggregate data.</w:t>
      </w:r>
    </w:p>
    <w:p>
      <w:pPr>
        <w:pStyle w:val="Heading3"/>
      </w:pPr>
      <w:r>
        <w:rPr>
          <w:rFonts w:ascii="Times New Roman" w:hAnsi="Times New Roman"/>
          <w:b/>
          <w:color w:val="000000"/>
          <w:sz w:val="24"/>
        </w:rPr>
        <w:t>Consent for publication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w:t>
      </w:r>
    </w:p>
    <w:p>
      <w:pPr>
        <w:pStyle w:val="Heading3"/>
      </w:pPr>
      <w:r>
        <w:rPr>
          <w:rFonts w:ascii="Times New Roman" w:hAnsi="Times New Roman"/>
          <w:b/>
          <w:color w:val="000000"/>
          <w:sz w:val="24"/>
        </w:rPr>
        <w:t>Availability of data and materials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data are from published sources and are included in the repository (https://github.com/bougtoir/kotha-rct-decomposition). Python code that reproduces all results, tables, and figures is available in the same repository.</w:t>
      </w:r>
    </w:p>
    <w:p>
      <w:pPr>
        <w:pStyle w:val="Heading3"/>
      </w:pPr>
      <w:r>
        <w:rPr>
          <w:rFonts w:ascii="Times New Roman" w:hAnsi="Times New Roman"/>
          <w:b/>
          <w:color w:val="000000"/>
          <w:sz w:val="24"/>
        </w:rPr>
        <w:t>Trial registration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manuscript presents a methodological framework and retrospective case illustrations; no prospective clinical trial was conducted.</w:t>
      </w:r>
    </w:p>
    <w:p>
      <w:pPr>
        <w:pStyle w:val="Heading3"/>
      </w:pPr>
      <w:r>
        <w:rPr>
          <w:rFonts w:ascii="Times New Roman" w:hAnsi="Times New Roman"/>
          <w:b/>
          <w:color w:val="000000"/>
          <w:sz w:val="24"/>
        </w:rPr>
        <w:t>Declaration of competing interest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Funding source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Authors' contributions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Acknowledgements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2"/>
      </w:pPr>
      <w:r>
        <w:rPr>
          <w:rFonts w:ascii="Times New Roman" w:hAnsi="Times New Roman"/>
          <w:b/>
          <w:color w:val="000000"/>
          <w:sz w:val="24"/>
        </w:rPr>
        <w:t>References</w:t>
      </w:r>
    </w:p>
    <w:p>
      <w:r>
        <w:rPr>
          <w:rFonts w:ascii="Times New Roman" w:hAnsi="Times New Roman"/>
          <w:sz w:val="20"/>
        </w:rPr>
        <w:t>1. Guyatt GH, Oxman AD, Vist GE, et al. GRADE: an emerging consensus on rating quality of evidence and strength of recommendations. BMJ 2008; 336(7650): 924-6.</w:t>
      </w:r>
    </w:p>
    <w:p>
      <w:r>
        <w:rPr>
          <w:rFonts w:ascii="Times New Roman" w:hAnsi="Times New Roman"/>
          <w:sz w:val="20"/>
        </w:rPr>
        <w:t>2. Concato J, Shah N and Horwitz RI. Randomized, controlled trials, observational studies, and the hierarchy of research designs. N Engl J Med 2000; 342(25): 1887-92.</w:t>
      </w:r>
    </w:p>
    <w:p>
      <w:r>
        <w:rPr>
          <w:rFonts w:ascii="Times New Roman" w:hAnsi="Times New Roman"/>
          <w:sz w:val="20"/>
        </w:rPr>
        <w:t>3. Anglemyer A, Horvath HT and Bero L. Healthcare outcomes assessed with observational study designs compared with those assessed in randomized trials. Cochrane Database Syst Rev 2014; (4): MR000034.</w:t>
      </w:r>
    </w:p>
    <w:p>
      <w:r>
        <w:rPr>
          <w:rFonts w:ascii="Times New Roman" w:hAnsi="Times New Roman"/>
          <w:sz w:val="20"/>
        </w:rPr>
        <w:t>4. Kennedy-Martin T, Curtis S, Faries D, et al. A literature review on the representativeness of randomized controlled trial samples and implications for the external validity of trial results. Trials 2015; 16: 495.</w:t>
      </w:r>
    </w:p>
    <w:p>
      <w:r>
        <w:rPr>
          <w:rFonts w:ascii="Times New Roman" w:hAnsi="Times New Roman"/>
          <w:sz w:val="20"/>
        </w:rPr>
        <w:t>5. Rothwell PM. External validity of randomised controlled trials: "to whom do the results of this trial apply?" Lancet 2005; 365(9453): 82-93.</w:t>
      </w:r>
    </w:p>
    <w:p>
      <w:r>
        <w:rPr>
          <w:rFonts w:ascii="Times New Roman" w:hAnsi="Times New Roman"/>
          <w:sz w:val="20"/>
        </w:rPr>
        <w:t>6. Pogue JM and Yusuf S. Cumulating evidence from randomized trials: utilizing sequential monitoring boundaries for cumulative meta-analysis. Control Clin Trials 1997; 18(6): 580-93.</w:t>
      </w:r>
    </w:p>
    <w:p>
      <w:r>
        <w:rPr>
          <w:rFonts w:ascii="Times New Roman" w:hAnsi="Times New Roman"/>
          <w:sz w:val="20"/>
        </w:rPr>
        <w:t>7. Wetterslev J, Thorlund K, Brok J, et al. Estimating required information size by quantifying diversity in random-effects model meta-analyses. BMC Med Res Methodol 2009; 9: 86.</w:t>
      </w:r>
    </w:p>
    <w:p>
      <w:r>
        <w:rPr>
          <w:rFonts w:ascii="Times New Roman" w:hAnsi="Times New Roman"/>
          <w:sz w:val="20"/>
        </w:rPr>
        <w:t>8. Brok J, Thorlund K, Gluud C, et al. Trial sequential analysis reveals insufficient information size and potentially false positive results in many meta-analyses. J Clin Epidemiol 2008; 61(8): 763-9.</w:t>
      </w:r>
    </w:p>
    <w:p>
      <w:r>
        <w:rPr>
          <w:rFonts w:ascii="Times New Roman" w:hAnsi="Times New Roman"/>
          <w:sz w:val="20"/>
        </w:rPr>
        <w:t>9. Thorlund K, Engstrom J, Wetterslev J, et al. User manual for trial sequential analysis (TSA). Copenhagen Trial Unit, Centre for Clinical Intervention Research; 2011.</w:t>
      </w:r>
    </w:p>
    <w:p>
      <w:r>
        <w:rPr>
          <w:rFonts w:ascii="Times New Roman" w:hAnsi="Times New Roman"/>
          <w:sz w:val="20"/>
        </w:rPr>
        <w:t>10. Morris TP, White IR and Crowther MJ. Using simulation studies to evaluate statistical methods. Stat Med 2019; 38(11): 2074-102.</w:t>
      </w:r>
    </w:p>
    <w:p>
      <w:r>
        <w:rPr>
          <w:rFonts w:ascii="Times New Roman" w:hAnsi="Times New Roman"/>
          <w:sz w:val="20"/>
        </w:rPr>
        <w:t>11. Schoenfeld DA. Sample-size formula for the proportional-hazards regression model. Biometrics 1983; 39(2): 499-503.</w:t>
      </w:r>
    </w:p>
    <w:p>
      <w:r>
        <w:rPr>
          <w:rFonts w:ascii="Times New Roman" w:hAnsi="Times New Roman"/>
          <w:sz w:val="20"/>
        </w:rPr>
        <w:t>12. Ibrahim JG and Chen MH. Power prior distributions for regression models. Stat Sci 2000; 15(1): 46-60.</w:t>
      </w:r>
    </w:p>
    <w:p>
      <w:r>
        <w:rPr>
          <w:rFonts w:ascii="Times New Roman" w:hAnsi="Times New Roman"/>
          <w:sz w:val="20"/>
        </w:rPr>
        <w:t>13. McCaw ZR, Yin G and Wei LJ. Using the restricted mean survival time difference as an alternative to the hazard ratio for analyzing clinical cardiovascular studies. Circulation 2019; 140(17): 1366-8. doi:10.1161/CIRCULATIONAHA.119.040680.</w:t>
      </w:r>
    </w:p>
    <w:p>
      <w:r>
        <w:rPr>
          <w:rFonts w:ascii="Times New Roman" w:hAnsi="Times New Roman"/>
          <w:sz w:val="20"/>
        </w:rPr>
        <w:t>14. Boyd AP, Kittelson JM and Gillen DL. Estimation of treatment effect under non-proportional hazards and conditionally independent censoring. Stat Med 2012; 31(28): 3504-15. doi:10.1002/sim.5440.</w:t>
      </w:r>
    </w:p>
    <w:p>
      <w:r>
        <w:rPr>
          <w:rFonts w:ascii="Times New Roman" w:hAnsi="Times New Roman"/>
          <w:sz w:val="20"/>
        </w:rPr>
        <w:t>15. Sherry AD, Msaouel P, Kupferman GS, et al. Evidence-based prior for estimating the treatment effect of phase III randomized trials in oncology. JCO Precis Oncol 2024; 8: e2400363. doi:10.1200/PO.24.00363.</w:t>
      </w:r>
    </w:p>
    <w:p>
      <w:r>
        <w:rPr>
          <w:rFonts w:ascii="Times New Roman" w:hAnsi="Times New Roman"/>
          <w:sz w:val="20"/>
        </w:rPr>
        <w:t>16. Foreman-Mackey D, Hogg DW, Lang D, et al. emcee: the MCMC hammer. Publ Astron Soc Pac 2013; 125(925): 306-12.</w:t>
      </w:r>
    </w:p>
    <w:p>
      <w:r>
        <w:rPr>
          <w:rFonts w:ascii="Times New Roman" w:hAnsi="Times New Roman"/>
          <w:sz w:val="20"/>
        </w:rPr>
        <w:t>17. Teo KK, Yusuf S, Collins R, et al. Effects of intravenous magnesium in suspected acute myocardial infarction: overview of randomised trials. BMJ 1991; 303(6816): 1499-503.</w:t>
      </w:r>
    </w:p>
    <w:p>
      <w:r>
        <w:rPr>
          <w:rFonts w:ascii="Times New Roman" w:hAnsi="Times New Roman"/>
          <w:sz w:val="20"/>
        </w:rPr>
        <w:t>18. Li J, Zhang Q, Zhang M, et al. Intravenous magnesium for acute myocardial infarction. Cochrane Database Syst Rev 2007; (2): CD002755.</w:t>
      </w:r>
    </w:p>
    <w:p>
      <w:r>
        <w:rPr>
          <w:rFonts w:ascii="Times New Roman" w:hAnsi="Times New Roman"/>
          <w:sz w:val="20"/>
        </w:rPr>
        <w:t>19. Anker SD, Clark AL, Winkler R, et al. Statin use and survival in patients with chronic heart failure -- results from two observational studies with 5200 patients. Int J Cardiol 2006; 112(2): 234-42.</w:t>
      </w:r>
    </w:p>
    <w:p>
      <w:r>
        <w:rPr>
          <w:rFonts w:ascii="Times New Roman" w:hAnsi="Times New Roman"/>
          <w:sz w:val="20"/>
        </w:rPr>
        <w:t>20. Mozaffarian D, Nye R and Levy WC. Statin therapy is associated with lower mortality among patients with severe heart failure. Am J Cardiol 2004; 93(9): 1124-9.</w:t>
      </w:r>
    </w:p>
    <w:p>
      <w:r>
        <w:rPr>
          <w:rFonts w:ascii="Times New Roman" w:hAnsi="Times New Roman"/>
          <w:sz w:val="20"/>
        </w:rPr>
        <w:t>21. Horwich TB, MacLellan WR and Fonarow GC. Statin therapy is associated with improved survival in ischemic and non-ischemic heart failure. J Am Coll Cardiol 2004; 43(4): 642-8.</w:t>
      </w:r>
    </w:p>
    <w:p>
      <w:r>
        <w:rPr>
          <w:rFonts w:ascii="Times New Roman" w:hAnsi="Times New Roman"/>
          <w:sz w:val="20"/>
        </w:rPr>
        <w:t>22. Go AS, Lee WY, Yang J, et al. Statin therapy and risks for death and hospitalization in chronic heart failure. JAMA 2006; 296(17): 2105-11.</w:t>
      </w:r>
    </w:p>
    <w:p>
      <w:r>
        <w:rPr>
          <w:rFonts w:ascii="Times New Roman" w:hAnsi="Times New Roman"/>
          <w:sz w:val="20"/>
        </w:rPr>
        <w:t>23. Foody JM, Shah R, Galusha D, et al. Statins and mortality among elderly patients hospitalized with heart failure. Circulation 2006; 113(8): 1086-92.</w:t>
      </w:r>
    </w:p>
    <w:p>
      <w:r>
        <w:rPr>
          <w:rFonts w:ascii="Times New Roman" w:hAnsi="Times New Roman"/>
          <w:sz w:val="20"/>
        </w:rPr>
        <w:t>24. Kjekshus J, Apetrei E, Barrios V, et al. Rosuvastatin in older patients with systolic heart failure. N Engl J Med 2007; 357(22): 2248-61.</w:t>
      </w:r>
    </w:p>
    <w:p>
      <w:r>
        <w:rPr>
          <w:rFonts w:ascii="Times New Roman" w:hAnsi="Times New Roman"/>
          <w:sz w:val="20"/>
        </w:rPr>
        <w:t>25. GISSI-HF Investigators. Effect of rosuvastatin in patients with chronic heart failure (the GISSI-HF trial): a randomised, double-blind, placebo-controlled trial. Lancet 2008; 372(9645): 1231-9.</w:t>
      </w:r>
    </w:p>
    <w:p>
      <w:r>
        <w:rPr>
          <w:rFonts w:ascii="Times New Roman" w:hAnsi="Times New Roman"/>
          <w:sz w:val="20"/>
        </w:rPr>
        <w:t>26. DerSimonian R and Laird N. Meta-analysis in clinical trials. Control Clin Trials 1986; 7(3): 177-88.</w:t>
      </w:r>
    </w:p>
    <w:p>
      <w:r>
        <w:rPr>
          <w:rFonts w:ascii="Times New Roman" w:hAnsi="Times New Roman"/>
          <w:sz w:val="20"/>
        </w:rPr>
        <w:t>27. Hernan MA and Robins JM. Using big data to emulate a target trial when a randomized trial is not available. Am J Epidemiol 2016; 183(8): 758-64.</w:t>
      </w:r>
    </w:p>
    <w:p>
      <w:r>
        <w:rPr>
          <w:rFonts w:ascii="Times New Roman" w:hAnsi="Times New Roman"/>
          <w:sz w:val="20"/>
        </w:rPr>
        <w:t>28. Hernan MA, Wang W and Leaf DE. Target trial emulation: a framework for causal inference from observational data. JAMA 2022; 328(24): 2446-7.</w:t>
      </w:r>
    </w:p>
    <w:p>
      <w:r>
        <w:rPr>
          <w:rFonts w:ascii="Times New Roman" w:hAnsi="Times New Roman"/>
          <w:sz w:val="20"/>
        </w:rPr>
        <w:t>29. Schmidli H, Gsteiger S, Roychoudhury S, et al. Robust meta-analytic-predictive priors in clinical trials with historical control information. Biometrics 2014; 70(4): 1023-32.</w:t>
      </w:r>
    </w:p>
    <w:p>
      <w:r>
        <w:rPr>
          <w:rFonts w:ascii="Times New Roman" w:hAnsi="Times New Roman"/>
          <w:sz w:val="20"/>
        </w:rPr>
        <w:t>30. Verde PE and Ohmann C. Combining randomized and non-randomized evidence in clinical research: a review of methods and applications. Res Synth Methods 2015; 6(1): 45-62.</w:t>
      </w:r>
    </w:p>
    <w:p>
      <w:r>
        <w:rPr>
          <w:rFonts w:ascii="Times New Roman" w:hAnsi="Times New Roman"/>
          <w:sz w:val="20"/>
        </w:rPr>
        <w:t>31. Efthimiou O, Mavridis D, Debray TPA, et al. Combining randomized and non-randomized evidence in network meta-analysis. Stat Med 2017; 36(8): 1210-26.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szCs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