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Trial Design</w:t>
      </w:r>
    </w:p>
    <w:p>
      <w:pPr>
        <w:jc w:val="center"/>
      </w:pPr>
      <w:r>
        <w:rPr>
          <w:rFonts w:ascii="Times New Roman" w:hAnsi="Times New Roman"/>
          <w:b/>
          <w:i w:val="0"/>
          <w:sz w:val="28"/>
        </w:rPr>
        <w:t>The KOTHA Framework: Diagnosing Structural Information Loss in Randomized Controlled Trial Meta-Analyses to Inform Trial Design</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2687</w:t>
      </w:r>
    </w:p>
    <w:p>
      <w:r>
        <w:rPr>
          <w:rFonts w:ascii="Times New Roman" w:hAnsi="Times New Roman"/>
          <w:b w:val="0"/>
          <w:i/>
          <w:sz w:val="24"/>
        </w:rPr>
        <w:t>Prepared for submission to Clinical Trials: Journal of the Society for Clinical Trials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ranks RCTs and meta-analyses highest, yet observational-RCT discordance is usually attributed to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(α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evidence of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statistically significant difference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interpreted as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term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However, these tools are underused in guideline development, and neither directly quantifies the information loss attributable to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 number of trial design strategies can mitigate event dilution (Supplementary Table S1),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therefore developed the Knowledge-driven Observational-Trial Harmonization Approach (KOTHA) Framework. It is a three-module system that (1) diagnoses structural information loss through counterfactual power simulation (Module K), (2) integrates discordant evidence through hierarchical Bayesian meta-analysis (Module T), and (3) translates quantitative findings into GRADE-compatible evidence assessment (Module H). This paper describes the framework and illustrates its application to two canonical cases of observational-RCT divergence, with an emphasis on implications for clinical 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rPr>
          <w:rFonts w:ascii="Times New Roman" w:hAnsi="Times New Roman"/>
          <w:b/>
          <w:sz w:val="20"/>
        </w:rPr>
        <w:t>[Insert Figure 1]</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evidence of effect (inconsistent or indirect).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1):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≥50% relative shift) are classified as serious indirectness, and ratios below 0.80 or above 1.25 (a ≥25% relative shift) as moderate indirectness. These thresholds correspond to conventional boundaries for clinically important relative effects. The result is a KOTHA-enhanced certainty rating and recommendation that explicitly distinguishes</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r>
        <w:rPr>
          <w:rFonts w:ascii="Times New Roman" w:hAnsi="Times New Roman"/>
          <w:b/>
          <w:i w:val="0"/>
          <w:sz w:val="24"/>
        </w:rPr>
        <w:t>Table 1: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S2 (magnesium in AMI) and Supplementary Table S3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rPr>
          <w:rFonts w:ascii="Times New Roman" w:hAnsi="Times New Roman"/>
          <w:b/>
          <w:sz w:val="20"/>
        </w:rPr>
        <w:t>[Insert Figure 2]</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attributable to event dilution (Fig. 3B).</w:t>
      </w:r>
    </w:p>
    <w:p>
      <w:pPr>
        <w:jc w:val="center"/>
      </w:pPr>
      <w:r>
        <w:rPr>
          <w:rFonts w:ascii="Times New Roman" w:hAnsi="Times New Roman"/>
          <w:b/>
          <w:sz w:val="20"/>
        </w:rPr>
        <w:t>[Insert Figure 3]</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Forest plots for magnesium and statins are shown in Fig. 4.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TSA under a fixed-effect accumulation produced a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of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a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(which, because the cumulative information exceeded the optimal information size, equals the conventional two-sided boundary) (Supplementary Fig. S2). This divergence reflects era-dependent treatment-effect heterogeneity driven by the ISIS-4 result.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rPr>
          <w:rFonts w:ascii="Times New Roman" w:hAnsi="Times New Roman"/>
          <w:b/>
          <w:sz w:val="20"/>
        </w:rPr>
        <w:t>[Insert Figure 4]</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(Supplementary Table S4)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(Supplementary Fig. S3A).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(Supplementary Fig. S3B). Even with moderate borrowing from observational evidence, conclusions remained uncertain.</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2 and Supplementary Fig. S4.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benefit demonstrated,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whereas KOTHA explicitly labels the evidence as informationally insufficient.</w:t>
      </w:r>
    </w:p>
    <w:p>
      <w:r>
        <w:rPr>
          <w:rFonts w:ascii="Times New Roman" w:hAnsi="Times New Roman"/>
          <w:b/>
          <w:i w:val="0"/>
          <w:sz w:val="24"/>
        </w:rPr>
        <w:t>Table 2: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No benefit demonstrated</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Inconclusive; conditional recommendation</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No benefit demonstrated</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Inconclusive; conditional recommendation</w:t>
            </w:r>
            <w:r>
              <w:rPr>
                <w:rFonts w:ascii="Times New Roman" w:hAnsi="Times New Roman" w:cs="Times New Roman" w:eastAsia="Times New Roman"/>
                <w:sz w:val="20"/>
                <w:szCs w:val="20"/>
              </w:rPr>
              <w:t xml:space="preserve">”</w:t>
            </w:r>
          </w:p>
        </w:tc>
      </w:tr>
    </w:tbl>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 18% temporal decline in control event rates from the pre-thrombolysis era to ISIS-4. The divergence between pre-ISIS-4 and all-trials estimates is better explained by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by simple underpowering. In the statins case, Module K showed that RCT populations had roughly half the event rate of observational cohorts, and that power for a modest effect (HR = 0.85) dropped from 98% to 83%. Module T demonstrated that even modest borrowing from observational evidence shifted posterior probabilities of benefit substantially, but uncertainty remained. Module H classified magnesium as inconclusive with serious inconsistency (heterogeneity), and statins as inconclusive with serious indirectness, rather than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In this way, KOTHA moves the design conversation 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what sample size do we need under the planned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what sample size do we need under the event rate we will actually observe in the enrolled population?</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rather than synthetic examples.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addresses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p>
      <w:r>
        <w:br w:type="page"/>
      </w:r>
    </w:p>
    <w:p>
      <w:pPr>
        <w:pStyle w:val="Heading2"/>
      </w:pPr>
      <w:r>
        <w:rPr>
          <w:rFonts w:ascii="Times New Roman" w:hAnsi="Times New Roman"/>
          <w:b/>
          <w:color w:val="000000"/>
          <w:sz w:val="24"/>
        </w:rPr>
        <w:t>Figure Legends</w:t>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(α = 0.3, 0.5, 1.0 for magnesium; 0.1, 0.3, 0.5 for statins).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