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Abbreviation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Definition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ADEMP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Aims, Data-generating mechanisms, Estimands, Methods, Performance measures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AMI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Acute myocardial infarction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Credible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Confidence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Grading of Recommendations Assessment, Development and Evaluation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HF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Heart failure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Hazard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KOTHA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Knowledge-driven Observational-Trial Harmonization Approach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MCMC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Markov chain Monte Carlo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Optimal information size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Odds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Randomized controlled trial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Trial sequential analysis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Approach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Mechanism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Adoption level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Stratified randomization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Risk-based stratification of randomization and analysis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for basic strata; rare for event-rate-driven strata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Prognostic enrichment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Intentional enrollment of high-risk patients to increase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Endorsed by FDA and EMA guidance; limited in non-drug trials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Event-driven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Continue enrollment/follow-up until target event count is reached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in cardiology and oncology; rare in other specialties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Adaptive sample size re-estimation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Mid-trial re-estimation of required sample size based on observed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Statistically powerful; regulatory complexity limits adoption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External data-informed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Use retrospective data to quantify expected event loss and adjust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Ideal but very rare in practice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Pragmatic / registry-based trials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Broad eligibility, minimal exclusions, real-world enrollment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Growing (e.g., REMAP-CAP, RECOVERY) but not yet standard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&lt; 0.67 or &gt; 1.50: serious; &lt; 0.85 or &gt; 1.18: moderate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Year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Era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(Mg)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(Mg)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(Ctrl)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(Ctrl)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Control 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Morton 1984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5.6%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Rasmussen 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Smith 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Abraham 1987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Ceremuzynski 1989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Singh 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Feldstedt 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Schechter 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LIMIT-2 1992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ISIS-4 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2216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2103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29,039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7.2%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Mozaffarian 2004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0.62 (0.49–0.78)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356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Horwich 2004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0.59 (0.44–0.78)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189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Go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0.69 (0.63–0.75)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24,598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5,765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Foody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(0.79–0.85)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54,960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16,573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Anker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0.75 (0.66–0.85)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10,510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2,890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CORONA 2007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0.95 (0.86–1.05)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5,011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728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GISSI-HF 2008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1.00 (0.90–1.12)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4,574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657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OR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1.11 (0.43–7.03)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1.00 (0.31–3.51)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27.9%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0.85 (0.31–2.50)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45.8%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0.73 (0.28–2.09)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77.0%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0.61 (0.28–1.30)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92.6%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77.1%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0.57 (0.29–1.05)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96.6%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0.54 (0.32–0.91)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97.2%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93.5%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0.98 (0.63–2.35)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60.9%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0.92 (0.63–2.19)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70.4%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43.5%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0.88 (0.60–1.80)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78.4%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26.0%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0.85 (0.59–1.57)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83.7%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65.7%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32.8%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(0.62–1.15)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91.9%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0.79 (0.63–1.02)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96.8%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88.7%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0.78 (0.65–0.95)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64.1%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Moderate: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 (heterogeneity-driven)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Very 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Moderate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