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rPr>
        <w:t>The KOTHA Framework: a counterfactual simulation and Bayesian integration approach to diagnosing structural information loss in randomized controlled trial meta-analyses</w:t>
      </w:r>
    </w:p>
    <w:p>
      <w:pPr>
        <w:jc w:val="center"/>
      </w:pPr>
      <w:r>
        <w:rPr>
          <w:rFonts w:ascii="Times New Roman" w:hAnsi="Times New Roman"/>
          <w:b w:val="0"/>
          <w:i/>
          <w:sz w:val="24"/>
        </w:rPr>
        <w:t>Authors: [To be determined]</w:t>
      </w:r>
    </w:p>
    <w:p>
      <w:pPr>
        <w:jc w:val="center"/>
      </w:pPr>
      <w:r>
        <w:rPr>
          <w:rFonts w:ascii="Times New Roman" w:hAnsi="Times New Roman"/>
          <w:b w:val="0"/>
          <w:i/>
          <w:sz w:val="24"/>
        </w:rPr>
        <w:t>Corresponding Author: [To be determined]</w:t>
      </w:r>
    </w:p>
    <w:p>
      <w:pPr>
        <w:pStyle w:val="Heading2"/>
      </w:pPr>
      <w:r>
        <w:rPr>
          <w:color w:val="000000"/>
        </w:rPr>
        <w:t>Abstract</w:t>
      </w:r>
    </w:p>
    <w:p>
      <w:r>
        <w:rPr>
          <w:rFonts w:ascii="Times New Roman" w:hAnsi="Times New Roman"/>
          <w:b/>
          <w:i w:val="0"/>
          <w:sz w:val="24"/>
        </w:rPr>
        <w:t>Background</w:t>
      </w:r>
      <w:r>
        <w:rPr>
          <w:rFonts w:ascii="Times New Roman" w:hAnsi="Times New Roman"/>
          <w:b w:val="0"/>
          <w:i w:val="0"/>
          <w:sz w:val="24"/>
        </w:rPr>
        <w:t>: Discrepancies between meta-analyses of observational studies and randomized controlled trials (RCTs) are conventionally attributed to confounding in observational data. However, an alternative structural explanation — that RCTs systematically exclude high-risk patients, leading to event dilution and insufficient statistical power — remains underexplored and poorly operationalized. We developed the KOTHA (Knowledge-driven Observational-Trial Harmonization Approach) Framework to diagnose and address this structural information loss.</w:t>
      </w:r>
    </w:p>
    <w:p>
      <w:r>
        <w:rPr>
          <w:rFonts w:ascii="Times New Roman" w:hAnsi="Times New Roman"/>
          <w:b/>
          <w:i w:val="0"/>
          <w:sz w:val="24"/>
        </w:rPr>
        <w:t>Methods</w:t>
      </w:r>
      <w:r>
        <w:rPr>
          <w:rFonts w:ascii="Times New Roman" w:hAnsi="Times New Roman"/>
          <w:b w:val="0"/>
          <w:i w:val="0"/>
          <w:sz w:val="24"/>
        </w:rPr>
        <w:t>: The KOTHA Framework comprises three modules. Module K uses counterfactual power simulation comparing statistical power under actual RCT enrollment versus target-population scenarios. Module T integrates RCT and observational evidence through hierarchical Bayesian meta-analysis with power-prior discounting. Module H provides a structured checklist for guideline committees based on optimal information size (OIS), trial sequential analysis (TSA) boundaries, and the GRADE framework. We illustrated the framework using published data from two well-documented cases of observational-RCT divergence: (1) intravenous magnesium in acute myocardial infarction (12 trials, 1984–1995) and (2) statins in heart failure (5 observational studies, 2 RCTs).</w:t>
      </w:r>
    </w:p>
    <w:p>
      <w:r>
        <w:rPr>
          <w:rFonts w:ascii="Times New Roman" w:hAnsi="Times New Roman"/>
          <w:b/>
          <w:i w:val="0"/>
          <w:sz w:val="24"/>
        </w:rPr>
        <w:t>Results</w:t>
      </w:r>
      <w:r>
        <w:rPr>
          <w:rFonts w:ascii="Times New Roman" w:hAnsi="Times New Roman"/>
          <w:b w:val="0"/>
          <w:i w:val="0"/>
          <w:sz w:val="24"/>
        </w:rPr>
        <w:t>: In the magnesium case, control event rates declined from 8.9% (pre-thrombolysis era) to 7.2% (ISIS-4), reflecting temporal event dilution. The pre-ISIS-4 meta-analysis yielded OR = 0.54 (95% CI: 0.40–0.75), while the all-trials estimate was OR = 0.56 (0.38–0.83) with I^2 = 62%. Bayesian integration with power prior discounting (\alpha = 0.3) yielded OR = 0.73 (95% CrI: 0.28–2.09), P(OR &lt; 1) = 77%. In the statins case, observational studies showed HR = 0.72 (0.64–0.80) while RCTs showed HR = 0.97 (0.90–1.05), with event rate ratio of 0.53 (RCT/observational). Module H assessment identified that standard GRADE evaluation would conclude "no benefit demonstrated," whereas KOTHA-enhanced assessment classified both cases as informationally inconclusive with serious indirectness due to event dilution.</w:t>
      </w:r>
    </w:p>
    <w:p>
      <w:r>
        <w:rPr>
          <w:rFonts w:ascii="Times New Roman" w:hAnsi="Times New Roman"/>
          <w:b/>
          <w:i w:val="0"/>
          <w:sz w:val="24"/>
        </w:rPr>
        <w:t>Conclusions</w:t>
      </w:r>
      <w:r>
        <w:rPr>
          <w:rFonts w:ascii="Times New Roman" w:hAnsi="Times New Roman"/>
          <w:b w:val="0"/>
          <w:i w:val="0"/>
          <w:sz w:val="24"/>
        </w:rPr>
        <w:t>: The KOTHA Framework provides a reproducible, quantitative approach to distinguishing "evidence of no effect" from "no evidence of effect." Empirical illustration using two canonical cases of observational-RCT divergence demonstrates that the framework can identify structural information loss and produce more nuanced evidence assessments than standard approaches.</w:t>
      </w:r>
    </w:p>
    <w:p>
      <w:r>
        <w:rPr>
          <w:rFonts w:ascii="Times New Roman" w:hAnsi="Times New Roman"/>
          <w:b/>
          <w:i w:val="0"/>
          <w:sz w:val="24"/>
        </w:rPr>
        <w:t>Keywords</w:t>
      </w:r>
      <w:r>
        <w:rPr>
          <w:rFonts w:ascii="Times New Roman" w:hAnsi="Times New Roman"/>
          <w:b w:val="0"/>
          <w:i w:val="0"/>
          <w:sz w:val="24"/>
        </w:rPr>
        <w:t>: randomized controlled trials, meta-analysis, observational studies, evidence-based medicine, counterfactual simulation, Bayesian evidence synthesis, GRADE, optimal information size, trial sequential analysis, power analysis, magnesium, statins, heart failure</w:t>
      </w:r>
    </w:p>
    <w:p>
      <w:pPr>
        <w:pStyle w:val="Heading2"/>
      </w:pPr>
      <w:r>
        <w:rPr>
          <w:color w:val="000000"/>
        </w:rPr>
        <w:t>Background</w:t>
      </w:r>
    </w:p>
    <w:p>
      <w:r>
        <w:rPr>
          <w:rFonts w:ascii="Times New Roman" w:hAnsi="Times New Roman"/>
          <w:b w:val="0"/>
          <w:i w:val="0"/>
          <w:sz w:val="24"/>
        </w:rPr>
        <w:t>Evidence-based medicine (EBM) places randomized controlled trials (RCTs) and their meta-analyses at the apex of the evidence hierarchy [1]. This paradigm rests on the principle that randomization minimizes confounding, providing the most internally valid estimates of treatment effects. However, a recurring challenge in clinical research is the discordance between meta-analyses of observational studies and RCTs: for certain clinical questions, observational evidence demonstrates statistically significant treatment benefit, whereas RCT meta-analyses fail to reach significance [2, 3].</w:t>
      </w:r>
    </w:p>
    <w:p>
      <w:r>
        <w:rPr>
          <w:rFonts w:ascii="Times New Roman" w:hAnsi="Times New Roman"/>
          <w:b w:val="0"/>
          <w:i w:val="0"/>
          <w:sz w:val="24"/>
        </w:rPr>
        <w:t xml:space="preserve">The conventional interpretation attributes this discrepancy to residual confounding, selection bias, or publication bias in observational data. While these explanations are valid in many contexts, an alternative structural explanation deserves systematic attention: RCTs may suffer from </w:t>
      </w:r>
      <w:r>
        <w:rPr>
          <w:rFonts w:ascii="Times New Roman" w:hAnsi="Times New Roman"/>
          <w:b/>
          <w:i w:val="0"/>
          <w:sz w:val="24"/>
        </w:rPr>
        <w:t>structural information loss</w:t>
      </w:r>
      <w:r>
        <w:rPr>
          <w:rFonts w:ascii="Times New Roman" w:hAnsi="Times New Roman"/>
          <w:b w:val="0"/>
          <w:i w:val="0"/>
          <w:sz w:val="24"/>
        </w:rPr>
        <w:t xml:space="preserve"> — a cascade of enrollment processes that systematically exclude high-risk patients, reduce event rates, and produce meta-analyses with insufficient statistical information to detect clinically meaningful effects.</w:t>
      </w:r>
    </w:p>
    <w:p>
      <w:pPr>
        <w:pStyle w:val="Heading3"/>
      </w:pPr>
      <w:r>
        <w:rPr>
          <w:color w:val="000000"/>
        </w:rPr>
        <w:t>The structural information loss hypothesis</w:t>
      </w:r>
    </w:p>
    <w:p>
      <w:r>
        <w:rPr>
          <w:rFonts w:ascii="Times New Roman" w:hAnsi="Times New Roman"/>
          <w:b w:val="0"/>
          <w:i w:val="0"/>
          <w:sz w:val="24"/>
        </w:rPr>
        <w:t>We hypothesize that the following five-step causal chain explains a non-negligible and under-recognized proportion of observational-RCT discordance, alongside the well-established sources of confounding, selection bias, and publication bias in observational studies:</w:t>
      </w:r>
    </w:p>
    <w:p>
      <w:pPr>
        <w:pStyle w:val="ListNumber"/>
      </w:pPr>
      <w:r>
        <w:rPr>
          <w:rFonts w:ascii="Times New Roman" w:hAnsi="Times New Roman"/>
          <w:b/>
          <w:i w:val="0"/>
          <w:sz w:val="24"/>
        </w:rPr>
        <w:t>Representativeness loss</w:t>
      </w:r>
      <w:r>
        <w:rPr>
          <w:rFonts w:ascii="Times New Roman" w:hAnsi="Times New Roman"/>
          <w:b w:val="0"/>
          <w:i w:val="0"/>
          <w:sz w:val="24"/>
        </w:rPr>
        <w:t>: RCTs lose population representativeness through eligibility criteria, consent requirements, and site selection [4, 5].</w:t>
      </w:r>
    </w:p>
    <w:p>
      <w:pPr>
        <w:pStyle w:val="ListNumber"/>
      </w:pPr>
      <w:r>
        <w:rPr>
          <w:rFonts w:ascii="Times New Roman" w:hAnsi="Times New Roman"/>
          <w:b/>
          <w:i w:val="0"/>
          <w:sz w:val="24"/>
        </w:rPr>
        <w:t>Event concentration in excluded populations</w:t>
      </w:r>
      <w:r>
        <w:rPr>
          <w:rFonts w:ascii="Times New Roman" w:hAnsi="Times New Roman"/>
          <w:b w:val="0"/>
          <w:i w:val="0"/>
          <w:sz w:val="24"/>
        </w:rPr>
        <w:t>: Clinical events occur disproportionately in high-risk subgroups (patients with comorbidities, advanced disease, organ dysfunction) who are preferentially excluded during screening.</w:t>
      </w:r>
    </w:p>
    <w:p>
      <w:pPr>
        <w:pStyle w:val="ListNumber"/>
      </w:pPr>
      <w:r>
        <w:rPr>
          <w:rFonts w:ascii="Times New Roman" w:hAnsi="Times New Roman"/>
          <w:b/>
          <w:i w:val="0"/>
          <w:sz w:val="24"/>
        </w:rPr>
        <w:t>Inadequate design compensation</w:t>
      </w:r>
      <w:r>
        <w:rPr>
          <w:rFonts w:ascii="Times New Roman" w:hAnsi="Times New Roman"/>
          <w:b w:val="0"/>
          <w:i w:val="0"/>
          <w:sz w:val="24"/>
        </w:rPr>
        <w:t>: RCT protocols rarely quantify the expected impact of risk-profile shifts on event rates and do not adjust sample sizes, follow-up duration, or stratification accordingly.</w:t>
      </w:r>
    </w:p>
    <w:p>
      <w:pPr>
        <w:pStyle w:val="ListNumber"/>
      </w:pPr>
      <w:r>
        <w:rPr>
          <w:rFonts w:ascii="Times New Roman" w:hAnsi="Times New Roman"/>
          <w:b/>
          <w:i w:val="0"/>
          <w:sz w:val="24"/>
        </w:rPr>
        <w:t>Systematic underpowering</w:t>
      </w:r>
      <w:r>
        <w:rPr>
          <w:rFonts w:ascii="Times New Roman" w:hAnsi="Times New Roman"/>
          <w:b w:val="0"/>
          <w:i w:val="0"/>
          <w:sz w:val="24"/>
        </w:rPr>
        <w:t>: The cumulative result is a body of RCTs with insufficient statistical power, producing meta-analyses that lack the information size necessary for definitive conclusions.</w:t>
      </w:r>
    </w:p>
    <w:p>
      <w:pPr>
        <w:pStyle w:val="ListNumber"/>
      </w:pPr>
      <w:r>
        <w:rPr>
          <w:rFonts w:ascii="Times New Roman" w:hAnsi="Times New Roman"/>
          <w:b/>
          <w:i w:val="0"/>
          <w:sz w:val="24"/>
        </w:rPr>
        <w:t>Distorted recommendations</w:t>
      </w:r>
      <w:r>
        <w:rPr>
          <w:rFonts w:ascii="Times New Roman" w:hAnsi="Times New Roman"/>
          <w:b w:val="0"/>
          <w:i w:val="0"/>
          <w:sz w:val="24"/>
        </w:rPr>
        <w:t>: "No significant difference" in underpowered meta-analyses is misinterpreted as "no effect," leading to failure to recommend treatments that may be effective in the target population.</w:t>
      </w:r>
    </w:p>
    <w:p>
      <w:pPr>
        <w:pStyle w:val="Heading3"/>
      </w:pPr>
      <w:r>
        <w:rPr>
          <w:color w:val="000000"/>
        </w:rPr>
        <w:t>Optimal information size and trial sequential analysis</w:t>
      </w:r>
    </w:p>
    <w:p>
      <w:r>
        <w:rPr>
          <w:rFonts w:ascii="Times New Roman" w:hAnsi="Times New Roman"/>
          <w:b w:val="0"/>
          <w:i w:val="0"/>
          <w:sz w:val="24"/>
        </w:rPr>
        <w:t>The concept of optimal information size (OIS) [6, 7] recognizes that meta-analyses, like individual trials, require a minimum amount of information to produce reliable conclusions. When cumulative information falls below the OIS, the meta-analysis result is inconclusive rather than definitive. Trial sequential analysis (TSA) [8, 9] formalizes this concept by applying sequential monitoring boundaries, distinguishing between evidence of no effect (the cumulative Z-curve crosses the futility boundary) and no evidence of effect (the monitoring boundary has not been crossed and the required information size has not been reached). This distinction is critical but frequently overlooked in guideline development.</w:t>
      </w:r>
    </w:p>
    <w:p>
      <w:pPr>
        <w:pStyle w:val="Heading3"/>
      </w:pPr>
      <w:r>
        <w:rPr>
          <w:color w:val="000000"/>
        </w:rPr>
        <w:t>Existing approaches to mitigate event dilution</w:t>
      </w:r>
    </w:p>
    <w:p>
      <w:r>
        <w:rPr>
          <w:rFonts w:ascii="Times New Roman" w:hAnsi="Times New Roman"/>
          <w:b w:val="0"/>
          <w:i w:val="0"/>
          <w:sz w:val="24"/>
        </w:rPr>
        <w:t>Several trial design strategies can mitigate event dilution (Table 1), but their adoption remains limited and no established framework exists to retrospectively diagnose information loss in completed RCTs or to prospectively integrate discordant evidence sources in a principled manner.</w:t>
      </w:r>
    </w:p>
    <w:p>
      <w:pPr>
        <w:pStyle w:val="Heading3"/>
      </w:pPr>
      <w:r>
        <w:rPr>
          <w:color w:val="000000"/>
        </w:rPr>
        <w:t>Aim</w:t>
      </w:r>
    </w:p>
    <w:p>
      <w:r>
        <w:rPr>
          <w:rFonts w:ascii="Times New Roman" w:hAnsi="Times New Roman"/>
          <w:b w:val="0"/>
          <w:i w:val="0"/>
          <w:sz w:val="24"/>
        </w:rPr>
        <w:t>We developed the KOTHA (Knowledge-driven Observational-Trial Harmonization Approach) Framework, a three-module methodological system designed to (1) diagnose structural information loss through counterfactual power simulation (Module K), (2) integrate discordant evidence using hierarchical Bayesian meta-analysis (Module T), and (3) guide interpretation and recommendation under information insufficiency (Module H). This paper describes the framework's theoretical foundations, validates it using real published data from two canonical cases of observational-RCT divergence, and demonstrates its application to guideline interpretation.</w:t>
      </w:r>
    </w:p>
    <w:p>
      <w:pPr>
        <w:pStyle w:val="Heading2"/>
      </w:pPr>
      <w:r>
        <w:rPr>
          <w:color w:val="000000"/>
        </w:rPr>
        <w:t>Methods</w:t>
      </w:r>
    </w:p>
    <w:p>
      <w:pPr>
        <w:pStyle w:val="Heading3"/>
      </w:pPr>
      <w:r>
        <w:rPr>
          <w:color w:val="000000"/>
        </w:rPr>
        <w:t>Overview of the KOTHA Framework</w:t>
      </w:r>
    </w:p>
    <w:p>
      <w:r>
        <w:rPr>
          <w:rFonts w:ascii="Times New Roman" w:hAnsi="Times New Roman"/>
          <w:b w:val="0"/>
          <w:i w:val="0"/>
          <w:sz w:val="24"/>
        </w:rPr>
        <w:t>The KOTHA Framework comprises three interconnected modules (Fig. 1):</w:t>
      </w:r>
    </w:p>
    <w:p>
      <w:pPr>
        <w:pStyle w:val="ListBullet"/>
      </w:pPr>
      <w:r>
        <w:rPr>
          <w:rFonts w:ascii="Times New Roman" w:hAnsi="Times New Roman"/>
          <w:b/>
          <w:i w:val="0"/>
          <w:sz w:val="24"/>
        </w:rPr>
        <w:t>Module K</w:t>
      </w:r>
      <w:r>
        <w:rPr>
          <w:rFonts w:ascii="Times New Roman" w:hAnsi="Times New Roman"/>
          <w:b w:val="0"/>
          <w:i w:val="0"/>
          <w:sz w:val="24"/>
        </w:rPr>
        <w:t xml:space="preserve"> (Counterfactual Power Simulation): Counterfactual power analysis using retrospective data</w:t>
      </w:r>
    </w:p>
    <w:p>
      <w:pPr>
        <w:pStyle w:val="ListBullet"/>
      </w:pPr>
      <w:r>
        <w:rPr>
          <w:rFonts w:ascii="Times New Roman" w:hAnsi="Times New Roman"/>
          <w:b/>
          <w:i w:val="0"/>
          <w:sz w:val="24"/>
        </w:rPr>
        <w:t>Module T</w:t>
      </w:r>
      <w:r>
        <w:rPr>
          <w:rFonts w:ascii="Times New Roman" w:hAnsi="Times New Roman"/>
          <w:b w:val="0"/>
          <w:i w:val="0"/>
          <w:sz w:val="24"/>
        </w:rPr>
        <w:t xml:space="preserve"> (Trial-Observational Bayesian Integration): Hierarchical Bayesian evidence synthesis with design-specific bias modeling</w:t>
      </w:r>
    </w:p>
    <w:p>
      <w:pPr>
        <w:pStyle w:val="ListBullet"/>
      </w:pPr>
      <w:r>
        <w:rPr>
          <w:rFonts w:ascii="Times New Roman" w:hAnsi="Times New Roman"/>
          <w:b/>
          <w:i w:val="0"/>
          <w:sz w:val="24"/>
        </w:rPr>
        <w:t>Module H</w:t>
      </w:r>
      <w:r>
        <w:rPr>
          <w:rFonts w:ascii="Times New Roman" w:hAnsi="Times New Roman"/>
          <w:b w:val="0"/>
          <w:i w:val="0"/>
          <w:sz w:val="24"/>
        </w:rPr>
        <w:t xml:space="preserve"> (Hermeneutic Guideline Interpreter): Structured interpretation guidelines for low-information meta-analyses mapped to the GRADE framework</w:t>
      </w:r>
    </w:p>
    <w:p>
      <w:r>
        <w:rPr>
          <w:rFonts w:ascii="Times New Roman" w:hAnsi="Times New Roman"/>
          <w:b w:val="0"/>
          <w:i w:val="0"/>
          <w:sz w:val="24"/>
        </w:rPr>
        <w:t>Each module can be applied independently, but the framework achieves maximum utility when all three modules are applied in sequence. Module K outputs feed into Module T (baseline risk distributions for absolute effect estimation) and Module H (quantification of risk-profile shift for indirectness assessment).</w:t>
      </w:r>
    </w:p>
    <w:p>
      <w:pPr>
        <w:pStyle w:val="Heading3"/>
      </w:pPr>
      <w:r>
        <w:rPr>
          <w:color w:val="000000"/>
        </w:rPr>
        <w:t>Module K: Counterfactual power simulation</w:t>
      </w:r>
    </w:p>
    <w:p>
      <w:r>
        <w:rPr>
          <w:rFonts w:ascii="Times New Roman" w:hAnsi="Times New Roman"/>
          <w:b w:val="0"/>
          <w:i w:val="0"/>
          <w:sz w:val="24"/>
        </w:rPr>
        <w:t xml:space="preserve">Module K addresses the question: </w:t>
      </w:r>
      <w:r>
        <w:rPr>
          <w:rFonts w:ascii="Times New Roman" w:hAnsi="Times New Roman"/>
          <w:b w:val="0"/>
          <w:i/>
          <w:sz w:val="24"/>
        </w:rPr>
        <w:t>"If the RCTs in this meta-analysis had enrolled patients with the risk profile of the real-world target population, would their combined evidence have been sufficient to detect the treatment effect observed in observational studies?"</w:t>
      </w:r>
    </w:p>
    <w:p>
      <w:r>
        <w:rPr>
          <w:rFonts w:ascii="Times New Roman" w:hAnsi="Times New Roman"/>
          <w:b w:val="0"/>
          <w:i w:val="0"/>
          <w:sz w:val="24"/>
        </w:rPr>
        <w:t>The simulation study component of Module K is described below following the ADEMP structure [10].</w:t>
      </w:r>
    </w:p>
    <w:p>
      <w:pPr>
        <w:pStyle w:val="Heading4"/>
      </w:pPr>
      <w:r>
        <w:rPr>
          <w:color w:val="000000"/>
        </w:rPr>
        <w:t>Aims</w:t>
      </w:r>
    </w:p>
    <w:p>
      <w:r>
        <w:rPr>
          <w:rFonts w:ascii="Times New Roman" w:hAnsi="Times New Roman"/>
          <w:b w:val="0"/>
          <w:i w:val="0"/>
          <w:sz w:val="24"/>
        </w:rPr>
        <w:t>The aim of the Module K simulation is to estimate statistical power under counterfactual enrollment scenarios. Specifically, we compare the expected power of a meta-analysis when patients are drawn from (a) the actual RCT-enrolled risk distribution versus (b) the real-world target population risk distribution, for a given treatment effect size. This quantifies the degree to which enrollment-driven risk-profile shifts reduce the information content of the trial evidence.</w:t>
      </w:r>
    </w:p>
    <w:p>
      <w:pPr>
        <w:pStyle w:val="Heading4"/>
      </w:pPr>
      <w:r>
        <w:rPr>
          <w:color w:val="000000"/>
        </w:rPr>
        <w:t>Data-generating mechanisms</w:t>
      </w:r>
    </w:p>
    <w:p>
      <w:r>
        <w:rPr>
          <w:rFonts w:ascii="Times New Roman" w:hAnsi="Times New Roman"/>
          <w:b w:val="0"/>
          <w:i w:val="0"/>
          <w:sz w:val="24"/>
        </w:rPr>
        <w:t>The data-generating process proceeds as follows:</w:t>
      </w:r>
    </w:p>
    <w:p>
      <w:pPr>
        <w:pStyle w:val="ListNumber"/>
      </w:pPr>
      <w:r>
        <w:rPr>
          <w:rFonts w:ascii="Times New Roman" w:hAnsi="Times New Roman"/>
          <w:b/>
          <w:i w:val="0"/>
          <w:sz w:val="24"/>
        </w:rPr>
        <w:t>Baseline risk model construction</w:t>
      </w:r>
      <w:r>
        <w:rPr>
          <w:rFonts w:ascii="Times New Roman" w:hAnsi="Times New Roman"/>
          <w:b w:val="0"/>
          <w:i w:val="0"/>
          <w:sz w:val="24"/>
        </w:rPr>
        <w:t>: Using a retrospective cohort (registry, administrative database, or electronic health records), fit a prognostic model to characterize the event-generating distribution. For time-to-event outcomes, a Cox proportional hazards model is used: h(t \mid X) = h_0(t) \cdot \exp(X\beta), where X represents baseline covariates. For binary outcomes, logistic regression is used: P(\text{event} \mid X) = \text{logit}^{-1}(X\beta). The purpose is to characterize baseline risk, not to estimate treatment effects.</w:t>
      </w:r>
    </w:p>
    <w:p>
      <w:pPr>
        <w:pStyle w:val="ListNumber"/>
      </w:pPr>
      <w:r>
        <w:rPr>
          <w:rFonts w:ascii="Times New Roman" w:hAnsi="Times New Roman"/>
          <w:b/>
          <w:i w:val="0"/>
          <w:sz w:val="24"/>
        </w:rPr>
        <w:t>Scenario definition</w:t>
      </w:r>
      <w:r>
        <w:rPr>
          <w:rFonts w:ascii="Times New Roman" w:hAnsi="Times New Roman"/>
          <w:b w:val="0"/>
          <w:i w:val="0"/>
          <w:sz w:val="24"/>
        </w:rPr>
        <w:t>: Three enrollment scenarios are defined:</w:t>
      </w:r>
    </w:p>
    <w:p>
      <w:pPr>
        <w:pStyle w:val="ListBullet"/>
      </w:pPr>
      <w:r>
        <w:rPr>
          <w:rFonts w:ascii="Times New Roman" w:hAnsi="Times New Roman"/>
          <w:b w:val="0"/>
          <w:i/>
          <w:sz w:val="24"/>
        </w:rPr>
        <w:t>Scenario S1 (real-world target)</w:t>
      </w:r>
      <w:r>
        <w:rPr>
          <w:rFonts w:ascii="Times New Roman" w:hAnsi="Times New Roman"/>
          <w:b w:val="0"/>
          <w:i w:val="0"/>
          <w:sz w:val="24"/>
        </w:rPr>
        <w:t>: The full retrospective cohort, representing the population for whom the clinical question is relevant.</w:t>
      </w:r>
    </w:p>
    <w:p>
      <w:pPr>
        <w:pStyle w:val="ListBullet"/>
      </w:pPr>
      <w:r>
        <w:rPr>
          <w:rFonts w:ascii="Times New Roman" w:hAnsi="Times New Roman"/>
          <w:b w:val="0"/>
          <w:i/>
          <w:sz w:val="24"/>
        </w:rPr>
        <w:t>Scenario S2 (RCT-enrolled equivalent)</w:t>
      </w:r>
      <w:r>
        <w:rPr>
          <w:rFonts w:ascii="Times New Roman" w:hAnsi="Times New Roman"/>
          <w:b w:val="0"/>
          <w:i w:val="0"/>
          <w:sz w:val="24"/>
        </w:rPr>
        <w:t>: The retrospective cohort filtered by the published eligibility criteria of existing RCTs, approximating the enrolled population.</w:t>
      </w:r>
    </w:p>
    <w:p>
      <w:pPr>
        <w:pStyle w:val="ListBullet"/>
      </w:pPr>
      <w:r>
        <w:rPr>
          <w:rFonts w:ascii="Times New Roman" w:hAnsi="Times New Roman"/>
          <w:b w:val="0"/>
          <w:i/>
          <w:sz w:val="24"/>
        </w:rPr>
        <w:t>Scenario S3 (design-optimized)</w:t>
      </w:r>
      <w:r>
        <w:rPr>
          <w:rFonts w:ascii="Times New Roman" w:hAnsi="Times New Roman"/>
          <w:b w:val="0"/>
          <w:i w:val="0"/>
          <w:sz w:val="24"/>
        </w:rPr>
        <w:t>: A modified enrollment strategy incorporating prognostic enrichment (e.g., mandating a minimum proportion of high-risk patients).</w:t>
      </w:r>
    </w:p>
    <w:p>
      <w:pPr>
        <w:pStyle w:val="ListNumber"/>
      </w:pPr>
      <w:r>
        <w:rPr>
          <w:rFonts w:ascii="Times New Roman" w:hAnsi="Times New Roman"/>
          <w:b/>
          <w:i w:val="0"/>
          <w:sz w:val="24"/>
        </w:rPr>
        <w:t>Treatment effect specification</w:t>
      </w:r>
      <w:r>
        <w:rPr>
          <w:rFonts w:ascii="Times New Roman" w:hAnsi="Times New Roman"/>
          <w:b w:val="0"/>
          <w:i w:val="0"/>
          <w:sz w:val="24"/>
        </w:rPr>
        <w:t>: The true treatment effect (e.g., hazard ratio, HR) is set at multiple values: the point estimate from the observational meta-analysis, attenuated values accounting for possible residual confounding, and the minimal clinically important difference.</w:t>
      </w:r>
    </w:p>
    <w:p>
      <w:pPr>
        <w:pStyle w:val="ListNumber"/>
      </w:pPr>
      <w:r>
        <w:rPr>
          <w:rFonts w:ascii="Times New Roman" w:hAnsi="Times New Roman"/>
          <w:b/>
          <w:i w:val="0"/>
          <w:sz w:val="24"/>
        </w:rPr>
        <w:t>Event generation</w:t>
      </w:r>
      <w:r>
        <w:rPr>
          <w:rFonts w:ascii="Times New Roman" w:hAnsi="Times New Roman"/>
          <w:b w:val="0"/>
          <w:i w:val="0"/>
          <w:sz w:val="24"/>
        </w:rPr>
        <w:t>: For each simulated patient, baseline risk is sampled from the scenario-specific covariate distribution. Events are generated for the control arm according to the fitted risk model and for the treatment arm with hazards modified by the specified HR, assuming proportional hazards.</w:t>
      </w:r>
    </w:p>
    <w:p>
      <w:pPr>
        <w:pStyle w:val="Heading4"/>
      </w:pPr>
      <w:r>
        <w:rPr>
          <w:color w:val="000000"/>
        </w:rPr>
        <w:t>Estimands</w:t>
      </w:r>
    </w:p>
    <w:p>
      <w:r>
        <w:rPr>
          <w:rFonts w:ascii="Times New Roman" w:hAnsi="Times New Roman"/>
          <w:b w:val="0"/>
          <w:i w:val="0"/>
          <w:sz w:val="24"/>
        </w:rPr>
        <w:t>The primary estimand is statistical power: the probability of rejecting the null hypothesis H_0: HR \geq 1 at significance level \alpha = 0.05 (two-sided) under the specified alternative HR, for each enrollment scenario.</w:t>
      </w:r>
    </w:p>
    <w:p>
      <w:r>
        <w:rPr>
          <w:rFonts w:ascii="Times New Roman" w:hAnsi="Times New Roman"/>
          <w:b w:val="0"/>
          <w:i w:val="0"/>
          <w:sz w:val="24"/>
        </w:rPr>
        <w:t>Secondary estimands include:</w:t>
      </w:r>
    </w:p>
    <w:p>
      <w:pPr>
        <w:pStyle w:val="ListBullet"/>
      </w:pPr>
      <w:r>
        <w:rPr>
          <w:rFonts w:ascii="Times New Roman" w:hAnsi="Times New Roman"/>
          <w:b w:val="0"/>
          <w:i w:val="0"/>
          <w:sz w:val="24"/>
        </w:rPr>
        <w:t>Expected number of events under each scenario for fixed total N and follow-up duration</w:t>
      </w:r>
    </w:p>
    <w:p>
      <w:pPr>
        <w:pStyle w:val="ListBullet"/>
      </w:pPr>
      <w:r>
        <w:rPr>
          <w:rFonts w:ascii="Times New Roman" w:hAnsi="Times New Roman"/>
          <w:b w:val="0"/>
          <w:i w:val="0"/>
          <w:sz w:val="24"/>
        </w:rPr>
        <w:t>Sample size required to achieve 80% power under each scenario</w:t>
      </w:r>
    </w:p>
    <w:p>
      <w:pPr>
        <w:pStyle w:val="ListBullet"/>
      </w:pPr>
      <w:r>
        <w:rPr>
          <w:rFonts w:ascii="Times New Roman" w:hAnsi="Times New Roman"/>
          <w:b w:val="0"/>
          <w:i w:val="0"/>
          <w:sz w:val="24"/>
        </w:rPr>
        <w:t>Event rate ratio between scenarios (quantifying the magnitude of event dilution)</w:t>
      </w:r>
    </w:p>
    <w:p>
      <w:r>
        <w:rPr>
          <w:rFonts w:ascii="Times New Roman" w:hAnsi="Times New Roman"/>
          <w:b w:val="0"/>
          <w:i w:val="0"/>
          <w:sz w:val="24"/>
        </w:rPr>
        <w:t>For time-to-event outcomes, the hazard ratio (HR) is the default effect measure in the empirical applications. The HR has a clear interpretation under the proportional hazards assumption; when this assumption is violated, the Cox-model HR depends on the censoring distribution and its clinical interpretation becomes ambiguous. Alternative estimands such as the restricted mean survival time (RMST) difference do not require proportional hazards and can be used whenever reconstructed survival curves or patient-level data are available [11, 12]. The KOTHA power calculations are not tied to the HR and can be adapted to any effect measure for which the expected number of events or the precision of the estimate can be projected.</w:t>
      </w:r>
    </w:p>
    <w:p>
      <w:pPr>
        <w:pStyle w:val="Heading4"/>
      </w:pPr>
      <w:r>
        <w:rPr>
          <w:color w:val="000000"/>
        </w:rPr>
        <w:t>Methods</w:t>
      </w:r>
    </w:p>
    <w:p>
      <w:r>
        <w:rPr>
          <w:rFonts w:ascii="Times New Roman" w:hAnsi="Times New Roman"/>
          <w:b w:val="0"/>
          <w:i w:val="0"/>
          <w:sz w:val="24"/>
        </w:rPr>
        <w:t>For each combination of enrollment scenario and treatment effect size, 10,000 Monte Carlo replications are performed:</w:t>
      </w:r>
    </w:p>
    <w:p>
      <w:pPr>
        <w:pStyle w:val="ListNumber"/>
      </w:pPr>
      <w:r>
        <w:rPr>
          <w:rFonts w:ascii="Times New Roman" w:hAnsi="Times New Roman"/>
          <w:b w:val="0"/>
          <w:i w:val="0"/>
          <w:sz w:val="24"/>
        </w:rPr>
        <w:t>Sample N patients from the scenario-specific risk distribution by resampling with replacement.</w:t>
      </w:r>
    </w:p>
    <w:p>
      <w:pPr>
        <w:pStyle w:val="ListNumber"/>
      </w:pPr>
      <w:r>
        <w:rPr>
          <w:rFonts w:ascii="Times New Roman" w:hAnsi="Times New Roman"/>
          <w:b w:val="0"/>
          <w:i w:val="0"/>
          <w:sz w:val="24"/>
        </w:rPr>
        <w:t>Randomly assign patients 1:1 to treatment and control arms.</w:t>
      </w:r>
    </w:p>
    <w:p>
      <w:pPr>
        <w:pStyle w:val="ListNumber"/>
      </w:pPr>
      <w:r>
        <w:rPr>
          <w:rFonts w:ascii="Times New Roman" w:hAnsi="Times New Roman"/>
          <w:b w:val="0"/>
          <w:i w:val="0"/>
          <w:sz w:val="24"/>
        </w:rPr>
        <w:t>Generate event times based on the fitted risk model, applying the specified HR for treatment-arm patients.</w:t>
      </w:r>
    </w:p>
    <w:p>
      <w:pPr>
        <w:pStyle w:val="ListNumber"/>
      </w:pPr>
      <w:r>
        <w:rPr>
          <w:rFonts w:ascii="Times New Roman" w:hAnsi="Times New Roman"/>
          <w:b w:val="0"/>
          <w:i w:val="0"/>
          <w:sz w:val="24"/>
        </w:rPr>
        <w:t>Conduct the primary statistical test at the two-sided \alpha = 0.05 level.</w:t>
      </w:r>
    </w:p>
    <w:p>
      <w:pPr>
        <w:pStyle w:val="ListNumber"/>
      </w:pPr>
      <w:r>
        <w:rPr>
          <w:rFonts w:ascii="Times New Roman" w:hAnsi="Times New Roman"/>
          <w:b w:val="0"/>
          <w:i w:val="0"/>
          <w:sz w:val="24"/>
        </w:rPr>
        <w:t>Record whether the null hypothesis was rejected.</w:t>
      </w:r>
    </w:p>
    <w:p>
      <w:r>
        <w:rPr>
          <w:rFonts w:ascii="Times New Roman" w:hAnsi="Times New Roman"/>
          <w:b w:val="0"/>
          <w:i w:val="0"/>
          <w:sz w:val="24"/>
        </w:rPr>
        <w:t>Power is estimated as the proportion of replications achieving rejection, with Monte Carlo standard errors computed as \sqrt{\hat{p}(1 - \hat{p})/B}, where B is the number of replications.</w:t>
      </w:r>
    </w:p>
    <w:p>
      <w:pPr>
        <w:pStyle w:val="Heading4"/>
      </w:pPr>
      <w:r>
        <w:rPr>
          <w:color w:val="000000"/>
        </w:rPr>
        <w:t>Performance measures</w:t>
      </w:r>
    </w:p>
    <w:p>
      <w:r>
        <w:rPr>
          <w:rFonts w:ascii="Times New Roman" w:hAnsi="Times New Roman"/>
          <w:b w:val="0"/>
          <w:i w:val="0"/>
          <w:sz w:val="24"/>
        </w:rPr>
        <w:t>The primary performance measure is estimated power with its Monte Carlo 95% confidence interval. Comparisons across scenarios are reported as power differences (absolute) and power ratios.</w:t>
      </w:r>
    </w:p>
    <w:p>
      <w:pPr>
        <w:pStyle w:val="Heading4"/>
      </w:pPr>
      <w:r>
        <w:rPr>
          <w:color w:val="000000"/>
        </w:rPr>
        <w:t>Practical implementation note</w:t>
      </w:r>
    </w:p>
    <w:p>
      <w:r>
        <w:rPr>
          <w:rFonts w:ascii="Times New Roman" w:hAnsi="Times New Roman"/>
          <w:b w:val="0"/>
          <w:i w:val="0"/>
          <w:sz w:val="24"/>
        </w:rPr>
        <w:t>The counterfactual simulation described above is an ideal workflow that assumes a representative retrospective cohort with individual-level covariates is available. When such data are unavailable—as in the empirical cases used here—the scenario-specific control event rates can be approximated from published aggregate data. In those cases, the analyses should be interpreted as sensitivity analyses of statistical power under alternative assumed event rates, not as true individual-level counterfactual simulations.</w:t>
      </w:r>
    </w:p>
    <w:p>
      <w:pPr>
        <w:pStyle w:val="Heading3"/>
      </w:pPr>
      <w:r>
        <w:rPr>
          <w:color w:val="000000"/>
        </w:rPr>
        <w:t>Module T: Hierarchical Bayesian evidence integration</w:t>
      </w:r>
    </w:p>
    <w:p>
      <w:pPr>
        <w:pStyle w:val="Heading4"/>
      </w:pPr>
      <w:r>
        <w:rPr>
          <w:color w:val="000000"/>
        </w:rPr>
        <w:t>Rationale</w:t>
      </w:r>
    </w:p>
    <w:p>
      <w:r>
        <w:rPr>
          <w:rFonts w:ascii="Times New Roman" w:hAnsi="Times New Roman"/>
          <w:b w:val="0"/>
          <w:i w:val="0"/>
          <w:sz w:val="24"/>
        </w:rPr>
        <w:t>When Module K establishes that RCT evidence is informationally insufficient, Module T provides a principled framework for integrating observational and RCT evidence, avoiding the dichotomy of either ignoring observational evidence entirely or treating it as equivalent to RCT evidence.</w:t>
      </w:r>
    </w:p>
    <w:p>
      <w:pPr>
        <w:pStyle w:val="Heading4"/>
      </w:pPr>
      <w:r>
        <w:rPr>
          <w:color w:val="000000"/>
        </w:rPr>
        <w:t>Model specification</w:t>
      </w:r>
    </w:p>
    <w:p>
      <w:r>
        <w:rPr>
          <w:rFonts w:ascii="Times New Roman" w:hAnsi="Times New Roman"/>
          <w:b w:val="0"/>
          <w:i w:val="0"/>
          <w:sz w:val="24"/>
        </w:rPr>
        <w:t>Let y_i denote the reported log hazard ratio from study i, with standard error s_i. The hierarchical model is:</w:t>
      </w:r>
    </w:p>
    <w:p>
      <w:r>
        <w:rPr>
          <w:rFonts w:ascii="Times New Roman" w:hAnsi="Times New Roman"/>
          <w:b/>
          <w:i w:val="0"/>
          <w:sz w:val="24"/>
        </w:rPr>
        <w:t>Observation level:</w:t>
      </w:r>
    </w:p>
    <w:p>
      <w:pPr>
        <w:jc w:val="center"/>
      </w:pPr>
      <w:r>
        <w:rPr>
          <w:rFonts w:ascii="Times New Roman" w:hAnsi="Times New Roman"/>
          <w:b w:val="0"/>
          <w:i/>
          <w:sz w:val="24"/>
        </w:rPr>
        <w:t>y_i ~ Normal(θ_i, s_i²)</w:t>
      </w:r>
    </w:p>
    <w:p>
      <w:r>
        <w:rPr>
          <w:rFonts w:ascii="Times New Roman" w:hAnsi="Times New Roman"/>
          <w:b/>
          <w:i w:val="0"/>
          <w:sz w:val="24"/>
        </w:rPr>
        <w:t>Study-level effects:</w:t>
      </w:r>
    </w:p>
    <w:p>
      <w:pPr>
        <w:jc w:val="center"/>
      </w:pPr>
      <w:r>
        <w:rPr>
          <w:rFonts w:ascii="Times New Roman" w:hAnsi="Times New Roman"/>
          <w:b w:val="0"/>
          <w:i/>
          <w:sz w:val="24"/>
        </w:rPr>
        <w:t>θ_i = μ + u_i + b_i</w:t>
      </w:r>
    </w:p>
    <w:p>
      <w:r>
        <w:rPr>
          <w:rFonts w:ascii="Times New Roman" w:hAnsi="Times New Roman"/>
          <w:b w:val="0"/>
          <w:i w:val="0"/>
          <w:sz w:val="24"/>
        </w:rPr>
        <w:t>where:</w:t>
      </w:r>
    </w:p>
    <w:p>
      <w:pPr>
        <w:pStyle w:val="ListBullet"/>
      </w:pPr>
      <w:r>
        <w:rPr>
          <w:rFonts w:ascii="Times New Roman" w:hAnsi="Times New Roman"/>
          <w:b w:val="0"/>
          <w:i w:val="0"/>
          <w:sz w:val="24"/>
        </w:rPr>
        <w:t>\mu is the overall mean treatment effect (the target of inference)</w:t>
      </w:r>
    </w:p>
    <w:p>
      <w:pPr>
        <w:pStyle w:val="ListBullet"/>
      </w:pPr>
      <w:r>
        <w:rPr>
          <w:rFonts w:ascii="Times New Roman" w:hAnsi="Times New Roman"/>
          <w:b w:val="0"/>
          <w:i w:val="0"/>
          <w:sz w:val="24"/>
        </w:rPr>
        <w:t>u_i \sim \text{Normal}(0, \tau^2) captures between-study heterogeneity</w:t>
      </w:r>
    </w:p>
    <w:p>
      <w:pPr>
        <w:pStyle w:val="ListBullet"/>
      </w:pPr>
      <w:r>
        <w:rPr>
          <w:rFonts w:ascii="Times New Roman" w:hAnsi="Times New Roman"/>
          <w:b w:val="0"/>
          <w:i w:val="0"/>
          <w:sz w:val="24"/>
        </w:rPr>
        <w:t>b_i captures design-related bias, with design-specific priors:</w:t>
      </w:r>
    </w:p>
    <w:p>
      <w:pPr>
        <w:pStyle w:val="ListBullet"/>
      </w:pPr>
      <w:r>
        <w:rPr>
          <w:rFonts w:ascii="Times New Roman" w:hAnsi="Times New Roman"/>
          <w:b w:val="0"/>
          <w:i w:val="0"/>
          <w:sz w:val="24"/>
        </w:rPr>
        <w:t>For RCTs: b_i \sim \text{Normal}(0, \sigma^2_{\text{RCT}}), where \sigma^2_{\text{RCT}} is constrained to be small</w:t>
      </w:r>
    </w:p>
    <w:p>
      <w:pPr>
        <w:pStyle w:val="ListBullet"/>
      </w:pPr>
      <w:r>
        <w:rPr>
          <w:rFonts w:ascii="Times New Roman" w:hAnsi="Times New Roman"/>
          <w:b w:val="0"/>
          <w:i w:val="0"/>
          <w:sz w:val="24"/>
        </w:rPr>
        <w:t>For observational studies: b_i \sim \text{Normal}(\delta, \sigma^2_{\text{OBS}}), where \delta represents the expected direction and magnitude of confounding bias</w:t>
      </w:r>
    </w:p>
    <w:p>
      <w:pPr>
        <w:pStyle w:val="Heading4"/>
      </w:pPr>
      <w:r>
        <w:rPr>
          <w:color w:val="000000"/>
        </w:rPr>
        <w:t>Prior specifications</w:t>
      </w:r>
    </w:p>
    <w:p>
      <w:r>
        <w:rPr>
          <w:rFonts w:ascii="Times New Roman" w:hAnsi="Times New Roman"/>
          <w:b w:val="0"/>
          <w:i w:val="0"/>
          <w:sz w:val="24"/>
        </w:rPr>
        <w:t>Priors are specified as follows:</w:t>
      </w:r>
    </w:p>
    <w:p>
      <w:pPr>
        <w:pStyle w:val="ListBullet"/>
      </w:pPr>
      <w:r>
        <w:rPr>
          <w:rFonts w:ascii="Times New Roman" w:hAnsi="Times New Roman"/>
          <w:b w:val="0"/>
          <w:i w:val="0"/>
          <w:sz w:val="24"/>
        </w:rPr>
        <w:t>\mu \sim \text{Normal}(0, 10^2) (weakly informative)</w:t>
      </w:r>
    </w:p>
    <w:p>
      <w:pPr>
        <w:pStyle w:val="ListBullet"/>
      </w:pPr>
      <w:r>
        <w:rPr>
          <w:rFonts w:ascii="Times New Roman" w:hAnsi="Times New Roman"/>
          <w:b w:val="0"/>
          <w:i w:val="0"/>
          <w:sz w:val="24"/>
        </w:rPr>
        <w:t>\tau \sim \text{Half-Cauchy}(0, 0.5)</w:t>
      </w:r>
    </w:p>
    <w:p>
      <w:pPr>
        <w:pStyle w:val="ListBullet"/>
      </w:pPr>
      <w:r>
        <w:rPr>
          <w:rFonts w:ascii="Times New Roman" w:hAnsi="Times New Roman"/>
          <w:b w:val="0"/>
          <w:i w:val="0"/>
          <w:sz w:val="24"/>
        </w:rPr>
        <w:t>\delta \sim \text{Normal}(0, \sigma_\delta^2), where \sigma_\delta is informed by empirical estimates of observational-RCT discrepancies [13, 14]</w:t>
      </w:r>
    </w:p>
    <w:p>
      <w:pPr>
        <w:pStyle w:val="ListBullet"/>
      </w:pPr>
      <w:r>
        <w:rPr>
          <w:rFonts w:ascii="Times New Roman" w:hAnsi="Times New Roman"/>
          <w:b w:val="0"/>
          <w:i w:val="0"/>
          <w:sz w:val="24"/>
        </w:rPr>
        <w:t>\sigma_{\text{OBS}} \sim \text{Half-Cauchy}(0, 0.5)</w:t>
      </w:r>
    </w:p>
    <w:p>
      <w:r>
        <w:rPr>
          <w:rFonts w:ascii="Times New Roman" w:hAnsi="Times New Roman"/>
          <w:b w:val="0"/>
          <w:i w:val="0"/>
          <w:sz w:val="24"/>
        </w:rPr>
        <w:t>The weakly informative prior for \mu is a default. When domain-specific empirical priors are available—for example, a prior derived from a large set of previous randomized trials in the same clinical domain [15]—they can be used to contextualize the RCT evidence before observational data are introduced. In the empirical cases below, such a cardiology-specific empirical prior was not available, so we retain the default prior and present sensitivity to discounting and bias adjustment across a transparency grid.</w:t>
      </w:r>
    </w:p>
    <w:p>
      <w:pPr>
        <w:pStyle w:val="Heading4"/>
      </w:pPr>
      <w:r>
        <w:rPr>
          <w:color w:val="000000"/>
        </w:rPr>
        <w:t>Sensitivity analyses via alternative discounting approaches</w:t>
      </w:r>
    </w:p>
    <w:p>
      <w:r>
        <w:rPr>
          <w:rFonts w:ascii="Times New Roman" w:hAnsi="Times New Roman"/>
          <w:b w:val="0"/>
          <w:i w:val="0"/>
          <w:sz w:val="24"/>
        </w:rPr>
        <w:t>Two complementary approaches are implemented:</w:t>
      </w:r>
    </w:p>
    <w:p>
      <w:r>
        <w:rPr>
          <w:rFonts w:ascii="Times New Roman" w:hAnsi="Times New Roman"/>
          <w:b/>
          <w:i w:val="0"/>
          <w:sz w:val="24"/>
        </w:rPr>
        <w:t>Approach 1: Power priors</w:t>
      </w:r>
      <w:r>
        <w:rPr>
          <w:rFonts w:ascii="Times New Roman" w:hAnsi="Times New Roman"/>
          <w:b w:val="0"/>
          <w:i w:val="0"/>
          <w:sz w:val="24"/>
        </w:rPr>
        <w:t xml:space="preserve"> [16]. The likelihood contribution of observational (or prior-era) studies is weighted by a discounting parameter \alpha \in [0, 1]:</w:t>
      </w:r>
    </w:p>
    <w:p>
      <w:pPr>
        <w:jc w:val="center"/>
      </w:pPr>
      <w:r>
        <w:rPr>
          <w:rFonts w:ascii="Times New Roman" w:hAnsi="Times New Roman"/>
          <w:b w:val="0"/>
          <w:i/>
          <w:sz w:val="24"/>
        </w:rPr>
        <w:t>L_{discounted(μ | y_{prior) = L(μ | y_{prior)^{α</w:t>
      </w:r>
    </w:p>
    <w:p>
      <w:r>
        <w:rPr>
          <w:rFonts w:ascii="Times New Roman" w:hAnsi="Times New Roman"/>
          <w:b w:val="0"/>
          <w:i w:val="0"/>
          <w:sz w:val="24"/>
        </w:rPr>
        <w:t>Results are presented across a grid of \alpha values (0, 0.1, 0.2, 0.3, 0.5, 0.7, 1.0). At \alpha = 0, only the primary (RCT) evidence contributes; at \alpha = 1, prior evidence receives full weight.</w:t>
      </w:r>
    </w:p>
    <w:p>
      <w:r>
        <w:rPr>
          <w:rFonts w:ascii="Times New Roman" w:hAnsi="Times New Roman"/>
          <w:b/>
          <w:i w:val="0"/>
          <w:sz w:val="24"/>
        </w:rPr>
        <w:t>Approach 2: Bias-adjusted normal approximation</w:t>
      </w:r>
      <w:r>
        <w:rPr>
          <w:rFonts w:ascii="Times New Roman" w:hAnsi="Times New Roman"/>
          <w:b w:val="0"/>
          <w:i w:val="0"/>
          <w:sz w:val="24"/>
        </w:rPr>
        <w:t>. A systematic bias term \delta is subtracted from observational log-effect estimates before pooling:</w:t>
      </w:r>
    </w:p>
    <w:p>
      <w:pPr>
        <w:jc w:val="center"/>
      </w:pPr>
      <w:r>
        <w:rPr>
          <w:rFonts w:ascii="Times New Roman" w:hAnsi="Times New Roman"/>
          <w:b w:val="0"/>
          <w:i/>
          <w:sz w:val="24"/>
        </w:rPr>
        <w:t>y_i^{adj = y_i - δ    for observational studies</w:t>
      </w:r>
    </w:p>
    <w:p>
      <w:r>
        <w:rPr>
          <w:rFonts w:ascii="Times New Roman" w:hAnsi="Times New Roman"/>
          <w:b w:val="0"/>
          <w:i w:val="0"/>
          <w:sz w:val="24"/>
        </w:rPr>
        <w:t>Results are presented across a grid of \delta values (0, 0.1, 0.2, 0.3), representing increasing assumed confounding bias.</w:t>
      </w:r>
    </w:p>
    <w:p>
      <w:r>
        <w:rPr>
          <w:rFonts w:ascii="Times New Roman" w:hAnsi="Times New Roman"/>
          <w:b w:val="0"/>
          <w:i w:val="0"/>
          <w:sz w:val="24"/>
        </w:rPr>
        <w:t>We emphasize that power-prior discounting (varying \alpha) attenuates the influence of observational or prior-era data but does not, by itself, correct for systematic confounding or guarantee exchangeability between evidence sources. The bias-adjustment parameter \delta is the mechanism for addressing suspected confounding, and sensitivity to both parameters is required. At the limit \alpha = 0, the model attempts to estimate a heterogeneity parameter from a single primary study; this is not identifiable from the data and the resulting interval is heavily influenced by the heterogeneity prior. In that case, we report the fixed-effect or single-study estimate alongside the Bayesian result and treat the Bayesian \alpha = 0 row as the limiting mathematical case rather than the primary inference.</w:t>
      </w:r>
    </w:p>
    <w:p>
      <w:pPr>
        <w:pStyle w:val="Heading4"/>
      </w:pPr>
      <w:r>
        <w:rPr>
          <w:color w:val="000000"/>
        </w:rPr>
        <w:t>Model outputs</w:t>
      </w:r>
    </w:p>
    <w:p>
      <w:pPr>
        <w:pStyle w:val="ListBullet"/>
      </w:pPr>
      <w:r>
        <w:rPr>
          <w:rFonts w:ascii="Times New Roman" w:hAnsi="Times New Roman"/>
          <w:b w:val="0"/>
          <w:i w:val="0"/>
          <w:sz w:val="24"/>
        </w:rPr>
        <w:t>Posterior distribution of \mu: median, 95% credible interval (CrI)</w:t>
      </w:r>
    </w:p>
    <w:p>
      <w:pPr>
        <w:pStyle w:val="ListBullet"/>
      </w:pPr>
      <w:r>
        <w:rPr>
          <w:rFonts w:ascii="Times New Roman" w:hAnsi="Times New Roman"/>
          <w:b w:val="0"/>
          <w:i w:val="0"/>
          <w:sz w:val="24"/>
        </w:rPr>
        <w:t>P(HR &lt; 1): posterior probability of any treatment benefit</w:t>
      </w:r>
    </w:p>
    <w:p>
      <w:pPr>
        <w:pStyle w:val="ListBullet"/>
      </w:pPr>
      <w:r>
        <w:rPr>
          <w:rFonts w:ascii="Times New Roman" w:hAnsi="Times New Roman"/>
          <w:b w:val="0"/>
          <w:i w:val="0"/>
          <w:sz w:val="24"/>
        </w:rPr>
        <w:t>P(HR &lt; c): posterior probability that the HR is below a clinically meaningful threshold c</w:t>
      </w:r>
    </w:p>
    <w:p>
      <w:pPr>
        <w:pStyle w:val="ListBullet"/>
      </w:pPr>
      <w:r>
        <w:rPr>
          <w:rFonts w:ascii="Times New Roman" w:hAnsi="Times New Roman"/>
          <w:b w:val="0"/>
          <w:i w:val="0"/>
          <w:sz w:val="24"/>
        </w:rPr>
        <w:t>Sensitivity of conclusions to the discounting parameter \alpha</w:t>
      </w:r>
    </w:p>
    <w:p>
      <w:pPr>
        <w:pStyle w:val="Heading4"/>
      </w:pPr>
      <w:r>
        <w:rPr>
          <w:color w:val="000000"/>
        </w:rPr>
        <w:t>Computational details</w:t>
      </w:r>
    </w:p>
    <w:p>
      <w:r>
        <w:rPr>
          <w:rFonts w:ascii="Times New Roman" w:hAnsi="Times New Roman"/>
          <w:b w:val="0"/>
          <w:i w:val="0"/>
          <w:sz w:val="24"/>
        </w:rPr>
        <w:t>The power prior model is implemented via Metropolis-Hastings MCMC with joint proposals for (\mu, \log\tau). For each \alpha value, 15,000 post-warmup iterations (3,000 warmup) are sampled. Convergence is assessed by visual inspection of trace plots and comparison across multiple random seeds.</w:t>
      </w:r>
    </w:p>
    <w:p>
      <w:pPr>
        <w:pStyle w:val="Heading3"/>
      </w:pPr>
      <w:r>
        <w:rPr>
          <w:color w:val="000000"/>
        </w:rPr>
        <w:t>Module H: Hermeneutic guideline interpreter</w:t>
      </w:r>
    </w:p>
    <w:p>
      <w:r>
        <w:rPr>
          <w:rFonts w:ascii="Times New Roman" w:hAnsi="Times New Roman"/>
          <w:b w:val="0"/>
          <w:i w:val="0"/>
          <w:sz w:val="24"/>
        </w:rPr>
        <w:t>Module H translates the quantitative outputs of Modules K and T into a structured assessment for guideline committees. It comprises a five-point checklist that maps onto the GRADE framework [1] (Table 2).</w:t>
      </w:r>
    </w:p>
    <w:p>
      <w:pPr>
        <w:pStyle w:val="Heading4"/>
      </w:pPr>
      <w:r>
        <w:rPr>
          <w:color w:val="000000"/>
        </w:rPr>
        <w:t>Assessment 1: Information sufficiency (GRADE imprecision domain)</w:t>
      </w:r>
    </w:p>
    <w:p>
      <w:r>
        <w:rPr>
          <w:rFonts w:ascii="Times New Roman" w:hAnsi="Times New Roman"/>
          <w:b w:val="0"/>
          <w:i w:val="0"/>
          <w:sz w:val="24"/>
        </w:rPr>
        <w:t>Calculate the optimal information size (OIS) for the target effect size using the formula for the required number of events in a two-arm trial [6]. Compare with the total number of events in the meta-analysis. If total events &lt; OIS, classify the evidence as informationally insufficient.</w:t>
      </w:r>
    </w:p>
    <w:p>
      <w:pPr>
        <w:pStyle w:val="Heading4"/>
      </w:pPr>
      <w:r>
        <w:rPr>
          <w:color w:val="000000"/>
        </w:rPr>
        <w:t>Assessment 2: Confidence interval assessment (GRADE imprecision domain)</w:t>
      </w:r>
    </w:p>
    <w:p>
      <w:r>
        <w:rPr>
          <w:rFonts w:ascii="Times New Roman" w:hAnsi="Times New Roman"/>
          <w:b w:val="0"/>
          <w:i w:val="0"/>
          <w:sz w:val="24"/>
        </w:rPr>
        <w:t>Evaluate whether the confidence interval of the pooled RCT effect estimate spans both clinically meaningful benefit (e.g., RR &lt; 0.80) and no effect (RR = 1.0). If so, the conclusion should be "inconclusive" rather than "no effect."</w:t>
      </w:r>
    </w:p>
    <w:p>
      <w:pPr>
        <w:pStyle w:val="Heading4"/>
      </w:pPr>
      <w:r>
        <w:rPr>
          <w:color w:val="000000"/>
        </w:rPr>
        <w:t>Assessment 3: Representativeness assessment (GRADE indirectness domain)</w:t>
      </w:r>
    </w:p>
    <w:p>
      <w:r>
        <w:rPr>
          <w:rFonts w:ascii="Times New Roman" w:hAnsi="Times New Roman"/>
          <w:b w:val="0"/>
          <w:i w:val="0"/>
          <w:sz w:val="24"/>
        </w:rPr>
        <w:t>Compare the risk profile of enrolled RCT populations with the target population. When Module K results are available, report the event rate ratio between scenarios S1 and S2. If the ratio exceeds a prespecified threshold (e.g., &gt; 1.5), apply indirectness downgrading with explicit quantification.</w:t>
      </w:r>
    </w:p>
    <w:p>
      <w:pPr>
        <w:pStyle w:val="Heading4"/>
      </w:pPr>
      <w:r>
        <w:rPr>
          <w:color w:val="000000"/>
        </w:rPr>
        <w:t>Assessment 4: Trial sequential analysis (GRADE imprecision domain)</w:t>
      </w:r>
    </w:p>
    <w:p>
      <w:r>
        <w:rPr>
          <w:rFonts w:ascii="Times New Roman" w:hAnsi="Times New Roman"/>
          <w:b w:val="0"/>
          <w:i w:val="0"/>
          <w:sz w:val="24"/>
        </w:rPr>
        <w:t>Apply TSA monitoring boundaries to the cumulative meta-analysis. Report whether the required information size has been reached and whether the cumulative Z-curve has crossed an efficacy boundary (upper) or a futility boundary (lower). If neither boundary has been crossed, the evidence is inconclusive regardless of whether the OIS has been reached; crossing the OIS alone does not establish evidence of no effect. If the information fraction is &lt; 100% and neither boundary has been crossed, explicitly state that the meta-analysis is analogous to an interim analysis.</w:t>
      </w:r>
    </w:p>
    <w:p>
      <w:pPr>
        <w:pStyle w:val="Heading4"/>
      </w:pPr>
      <w:r>
        <w:rPr>
          <w:color w:val="000000"/>
        </w:rPr>
        <w:t>Assessment 5: Recommendation language</w:t>
      </w:r>
    </w:p>
    <w:p>
      <w:r>
        <w:rPr>
          <w:rFonts w:ascii="Times New Roman" w:hAnsi="Times New Roman"/>
          <w:b w:val="0"/>
          <w:i w:val="0"/>
          <w:sz w:val="24"/>
        </w:rPr>
        <w:t>Provide standardized templates for recommendation language that distinguish between:</w:t>
      </w:r>
    </w:p>
    <w:p>
      <w:pPr>
        <w:pStyle w:val="ListBullet"/>
      </w:pPr>
      <w:r>
        <w:rPr>
          <w:rFonts w:ascii="Times New Roman" w:hAnsi="Times New Roman"/>
          <w:b w:val="0"/>
          <w:i w:val="0"/>
          <w:sz w:val="24"/>
        </w:rPr>
        <w:t>"Evidence of effect": TSA efficacy boundary crossed (strong language permissible only if heterogeneity is low)</w:t>
      </w:r>
    </w:p>
    <w:p>
      <w:pPr>
        <w:pStyle w:val="ListBullet"/>
      </w:pPr>
      <w:r>
        <w:rPr>
          <w:rFonts w:ascii="Times New Roman" w:hAnsi="Times New Roman"/>
          <w:b w:val="0"/>
          <w:i w:val="0"/>
          <w:sz w:val="24"/>
        </w:rPr>
        <w:t>"Evidence of no effect": TSA futility boundary crossed (strong language permissible)</w:t>
      </w:r>
    </w:p>
    <w:p>
      <w:pPr>
        <w:pStyle w:val="ListBullet"/>
      </w:pPr>
      <w:r>
        <w:rPr>
          <w:rFonts w:ascii="Times New Roman" w:hAnsi="Times New Roman"/>
          <w:b w:val="0"/>
          <w:i w:val="0"/>
          <w:sz w:val="24"/>
        </w:rPr>
        <w:t>"No evidence of effect (inconclusive)": OIS not met, or OIS met but neither efficacy nor futility boundary crossed (conditional language required)</w:t>
      </w:r>
    </w:p>
    <w:p>
      <w:pPr>
        <w:pStyle w:val="ListBullet"/>
      </w:pPr>
      <w:r>
        <w:rPr>
          <w:rFonts w:ascii="Times New Roman" w:hAnsi="Times New Roman"/>
          <w:b w:val="0"/>
          <w:i w:val="0"/>
          <w:sz w:val="24"/>
        </w:rPr>
        <w:t>"Integrated evidence suggests benefit": Module T posterior probability exceeds threshold (conditional recommendation with explicit uncertainty quantification)</w:t>
      </w:r>
    </w:p>
    <w:p>
      <w:pPr>
        <w:pStyle w:val="Heading2"/>
      </w:pPr>
      <w:r>
        <w:rPr>
          <w:color w:val="000000"/>
        </w:rPr>
        <w:t>Theoretical foundations</w:t>
      </w:r>
    </w:p>
    <w:p>
      <w:r>
        <w:rPr>
          <w:rFonts w:ascii="Times New Roman" w:hAnsi="Times New Roman"/>
          <w:b w:val="0"/>
          <w:i w:val="0"/>
          <w:sz w:val="24"/>
        </w:rPr>
        <w:t>This section presents the mathematical underpinnings of each KOTHA module, establishing the formal relationships between event dilution, statistical power, and evidence sufficiency.</w:t>
      </w:r>
    </w:p>
    <w:p>
      <w:pPr>
        <w:pStyle w:val="Heading3"/>
      </w:pPr>
      <w:r>
        <w:rPr>
          <w:color w:val="000000"/>
        </w:rPr>
        <w:t>Module K: Power as a function of control event rate</w:t>
      </w:r>
    </w:p>
    <w:p>
      <w:r>
        <w:rPr>
          <w:rFonts w:ascii="Times New Roman" w:hAnsi="Times New Roman"/>
          <w:b w:val="0"/>
          <w:i w:val="0"/>
          <w:sz w:val="24"/>
        </w:rPr>
        <w:t>The statistical power of a two-arm trial with binary outcome depends critically on the control-group event rate p_c. Under the odds ratio (OR) parameterization, the treatment-group event rate is:</w:t>
      </w:r>
    </w:p>
    <w:p>
      <w:pPr>
        <w:jc w:val="center"/>
      </w:pPr>
      <w:r>
        <w:rPr>
          <w:rFonts w:ascii="Times New Roman" w:hAnsi="Times New Roman"/>
          <w:b w:val="0"/>
          <w:i/>
          <w:sz w:val="24"/>
        </w:rPr>
        <w:t>p_t = {p_c · OR{1 - p_c + p_c · OR</w:t>
      </w:r>
    </w:p>
    <w:p>
      <w:r>
        <w:rPr>
          <w:rFonts w:ascii="Times New Roman" w:hAnsi="Times New Roman"/>
          <w:b w:val="0"/>
          <w:i w:val="0"/>
          <w:sz w:val="24"/>
        </w:rPr>
        <w:t>The total expected number of events in a trial of N patients (equally randomized) is:</w:t>
      </w:r>
    </w:p>
    <w:p>
      <w:pPr>
        <w:jc w:val="center"/>
      </w:pPr>
      <w:r>
        <w:rPr>
          <w:rFonts w:ascii="Times New Roman" w:hAnsi="Times New Roman"/>
          <w:b w:val="0"/>
          <w:i/>
          <w:sz w:val="24"/>
        </w:rPr>
        <w:t>D = {N{2(p_c + p_t)</w:t>
      </w:r>
    </w:p>
    <w:p>
      <w:r>
        <w:rPr>
          <w:rFonts w:ascii="Times New Roman" w:hAnsi="Times New Roman"/>
          <w:b w:val="0"/>
          <w:i w:val="0"/>
          <w:sz w:val="24"/>
        </w:rPr>
        <w:t>The standard error of the log-OR estimate is approximately \text{SE}(\log\text{OR}) \approx 2/\sqrt{D} (Schoenfeld formula [17]), yielding the power function:</w:t>
      </w:r>
    </w:p>
    <w:p>
      <w:pPr>
        <w:jc w:val="center"/>
      </w:pPr>
      <w:r>
        <w:rPr>
          <w:rFonts w:ascii="Times New Roman" w:hAnsi="Times New Roman"/>
          <w:b w:val="0"/>
          <w:i/>
          <w:sz w:val="24"/>
        </w:rPr>
        <w:t>Power = Φ({|log(OR)| · √{D{2 - z_{α/2)</w:t>
      </w:r>
    </w:p>
    <w:p>
      <w:r>
        <w:rPr>
          <w:rFonts w:ascii="Times New Roman" w:hAnsi="Times New Roman"/>
          <w:b w:val="0"/>
          <w:i w:val="0"/>
          <w:sz w:val="24"/>
        </w:rPr>
        <w:t>where \Phi is the standard normal CDF and z_{\alpha/2} is the critical value for a two-sided test at level \alpha.</w:t>
      </w:r>
    </w:p>
    <w:p>
      <w:r>
        <w:rPr>
          <w:rFonts w:ascii="Times New Roman" w:hAnsi="Times New Roman"/>
          <w:b w:val="0"/>
          <w:i w:val="0"/>
          <w:sz w:val="24"/>
        </w:rPr>
        <w:t xml:space="preserve">This formula reveals the direct dependence of power on D, which in turn depends on p_c. When RCT enrollment criteria reduce p_c from the real-world rate p_c^{(S1)} to the trial rate p_c^{(S2)}, the expected event count decreases proportionally, and power declines nonlinearly. The </w:t>
      </w:r>
      <w:r>
        <w:rPr>
          <w:rFonts w:ascii="Times New Roman" w:hAnsi="Times New Roman"/>
          <w:b/>
          <w:i w:val="0"/>
          <w:sz w:val="24"/>
        </w:rPr>
        <w:t>event rate ratio</w:t>
      </w:r>
      <w:r>
        <w:rPr>
          <w:rFonts w:ascii="Times New Roman" w:hAnsi="Times New Roman"/>
          <w:b w:val="0"/>
          <w:i w:val="0"/>
          <w:sz w:val="24"/>
        </w:rPr>
        <w:t xml:space="preserve"> \rho = p_c^{(S2)} / p_c^{(S1)} quantifies this dilution.</w:t>
      </w:r>
    </w:p>
    <w:p>
      <w:r>
        <w:rPr>
          <w:rFonts w:ascii="Times New Roman" w:hAnsi="Times New Roman"/>
          <w:b w:val="0"/>
          <w:i w:val="0"/>
          <w:sz w:val="24"/>
        </w:rPr>
        <w:t>For a meta-analysis of K trials with total sample size N = \sum_{k=1}^K N_k, the cumulative expected events under scenario S_j are:</w:t>
      </w:r>
    </w:p>
    <w:p>
      <w:pPr>
        <w:jc w:val="center"/>
      </w:pPr>
      <w:r>
        <w:rPr>
          <w:rFonts w:ascii="Times New Roman" w:hAnsi="Times New Roman"/>
          <w:b w:val="0"/>
          <w:i/>
          <w:sz w:val="24"/>
        </w:rPr>
        <w:t>D^{(S_j) = Σ_{k=1^K {N_k{2(p_{c,k^{(S_j) + p_{t,k^{(S_j))</w:t>
      </w:r>
    </w:p>
    <w:p>
      <w:r>
        <w:rPr>
          <w:rFonts w:ascii="Times New Roman" w:hAnsi="Times New Roman"/>
          <w:b w:val="0"/>
          <w:i w:val="0"/>
          <w:sz w:val="24"/>
        </w:rPr>
        <w:t>Module K computes power across a grid of true effect sizes and enrollment scenarios, producing power curves that visualize the impact of event dilution.</w:t>
      </w:r>
    </w:p>
    <w:p>
      <w:pPr>
        <w:pStyle w:val="Heading3"/>
      </w:pPr>
      <w:r>
        <w:rPr>
          <w:color w:val="000000"/>
        </w:rPr>
        <w:t>Module T: Power prior formulation</w:t>
      </w:r>
    </w:p>
    <w:p>
      <w:r>
        <w:rPr>
          <w:rFonts w:ascii="Times New Roman" w:hAnsi="Times New Roman"/>
          <w:b w:val="0"/>
          <w:i w:val="0"/>
          <w:sz w:val="24"/>
        </w:rPr>
        <w:t>The power prior approach [16] provides a principled method for discounting historical or observational evidence. Let y_{\text{RCT}} = (y_1, \ldots, y_m) denote the log-effect estimates from m RCT studies with standard errors s_1, \ldots, s_m, and let y_{\text{prior}} = (y_{m+1}, \ldots, y_{m+n}) denote the log-effect estimates from n prior (observational or earlier-era) studies with standard errors s_{m+1}, \ldots, s_{m+n}.</w:t>
      </w:r>
    </w:p>
    <w:p>
      <w:r>
        <w:rPr>
          <w:rFonts w:ascii="Times New Roman" w:hAnsi="Times New Roman"/>
          <w:b w:val="0"/>
          <w:i w:val="0"/>
          <w:sz w:val="24"/>
        </w:rPr>
        <w:t>The power prior likelihood is:</w:t>
      </w:r>
    </w:p>
    <w:p>
      <w:pPr>
        <w:jc w:val="center"/>
      </w:pPr>
      <w:r>
        <w:rPr>
          <w:rFonts w:ascii="Times New Roman" w:hAnsi="Times New Roman"/>
          <w:b w:val="0"/>
          <w:i/>
          <w:sz w:val="24"/>
        </w:rPr>
        <w:t>L(μ, τ | y_{RCT, y_{prior, α) = ∏_{i=1^{m f(y_i | μ, τ, s_i) · [∏_{j=m+1^{m+n f(y_j | μ, τ, s_j)]^{α</w:t>
      </w:r>
    </w:p>
    <w:p>
      <w:r>
        <w:rPr>
          <w:rFonts w:ascii="Times New Roman" w:hAnsi="Times New Roman"/>
          <w:b w:val="0"/>
          <w:i w:val="0"/>
          <w:sz w:val="24"/>
        </w:rPr>
        <w:t>where f(y_i \mid \mu, \tau, s_i) = \text{Normal}(y_i \mid \mu, s_i^2 + \tau^2) is the marginal likelihood under a random-effects model, and \alpha \in [0, 1] is the discounting parameter.</w:t>
      </w:r>
    </w:p>
    <w:p>
      <w:r>
        <w:rPr>
          <w:rFonts w:ascii="Times New Roman" w:hAnsi="Times New Roman"/>
          <w:b w:val="0"/>
          <w:i w:val="0"/>
          <w:sz w:val="24"/>
        </w:rPr>
        <w:t>The log-posterior is:</w:t>
      </w:r>
    </w:p>
    <w:p>
      <w:pPr>
        <w:jc w:val="center"/>
      </w:pPr>
      <w:r>
        <w:rPr>
          <w:rFonts w:ascii="Times New Roman" w:hAnsi="Times New Roman"/>
          <w:b w:val="0"/>
          <w:i/>
          <w:sz w:val="24"/>
        </w:rPr>
        <w:t>log p(μ, τ | data, α) = -{1{2Σ_{i=1^{m[{(y_i - μ)²{s_i² + τ² + log(s_i² + τ²)] - {α{2Σ_{j=m+1^{m+n[{(y_j - μ)²{s_j² + τ² + log(s_j² + τ²)] + log p(μ) + log p(τ)</w:t>
      </w:r>
    </w:p>
    <w:p>
      <w:r>
        <w:rPr>
          <w:rFonts w:ascii="Times New Roman" w:hAnsi="Times New Roman"/>
          <w:b w:val="0"/>
          <w:i w:val="0"/>
          <w:sz w:val="24"/>
        </w:rPr>
        <w:t>with priors \mu \sim \text{Normal}(0, 10^2) and \tau \sim \text{Half-Cauchy}(0.5).</w:t>
      </w:r>
    </w:p>
    <w:p>
      <w:r>
        <w:rPr>
          <w:rFonts w:ascii="Times New Roman" w:hAnsi="Times New Roman"/>
          <w:b w:val="0"/>
          <w:i w:val="0"/>
          <w:sz w:val="24"/>
        </w:rPr>
        <w:t>The parameter \alpha controls the influence of prior evidence:</w:t>
      </w:r>
    </w:p>
    <w:p>
      <w:pPr>
        <w:pStyle w:val="ListBullet"/>
      </w:pPr>
      <w:r>
        <w:rPr>
          <w:rFonts w:ascii="Times New Roman" w:hAnsi="Times New Roman"/>
          <w:b w:val="0"/>
          <w:i w:val="0"/>
          <w:sz w:val="24"/>
        </w:rPr>
        <w:t>\alpha = 0: Only RCT evidence contributes (equivalent to RCT-only meta-analysis)</w:t>
      </w:r>
    </w:p>
    <w:p>
      <w:pPr>
        <w:pStyle w:val="ListBullet"/>
      </w:pPr>
      <w:r>
        <w:rPr>
          <w:rFonts w:ascii="Times New Roman" w:hAnsi="Times New Roman"/>
          <w:b w:val="0"/>
          <w:i w:val="0"/>
          <w:sz w:val="24"/>
        </w:rPr>
        <w:t>\alpha = 1: Prior evidence receives full weight (equivalent to naive pooling)</w:t>
      </w:r>
    </w:p>
    <w:p>
      <w:pPr>
        <w:pStyle w:val="ListBullet"/>
      </w:pPr>
      <w:r>
        <w:rPr>
          <w:rFonts w:ascii="Times New Roman" w:hAnsi="Times New Roman"/>
          <w:b w:val="0"/>
          <w:i w:val="0"/>
          <w:sz w:val="24"/>
        </w:rPr>
        <w:t>0 &lt; \alpha &lt; 1: Prior evidence is discounted, with the effective sample size of prior studies reduced by factor \alpha</w:t>
      </w:r>
    </w:p>
    <w:p>
      <w:r>
        <w:rPr>
          <w:rFonts w:ascii="Times New Roman" w:hAnsi="Times New Roman"/>
          <w:b w:val="0"/>
          <w:i w:val="0"/>
          <w:sz w:val="24"/>
        </w:rPr>
        <w:t>By presenting results across a grid of \alpha values, Module T provides a transparent sensitivity analysis showing how conclusions depend on the degree of trust placed in prior evidence.</w:t>
      </w:r>
    </w:p>
    <w:p>
      <w:pPr>
        <w:pStyle w:val="Heading3"/>
      </w:pPr>
      <w:r>
        <w:rPr>
          <w:color w:val="000000"/>
        </w:rPr>
        <w:t>Module H: Optimal information size and trial sequential analysis</w:t>
      </w:r>
    </w:p>
    <w:p>
      <w:pPr>
        <w:pStyle w:val="Heading4"/>
      </w:pPr>
      <w:r>
        <w:rPr>
          <w:color w:val="000000"/>
        </w:rPr>
        <w:t>OIS derivation</w:t>
      </w:r>
    </w:p>
    <w:p>
      <w:r>
        <w:rPr>
          <w:rFonts w:ascii="Times New Roman" w:hAnsi="Times New Roman"/>
          <w:b w:val="0"/>
          <w:i w:val="0"/>
          <w:sz w:val="24"/>
        </w:rPr>
        <w:t>The optimal information size (OIS) is the minimum number of events required for a meta-analysis to have adequate power to detect a specified effect. For a two-sided test at level \alpha with power 1 - \beta:</w:t>
      </w:r>
    </w:p>
    <w:p>
      <w:pPr>
        <w:jc w:val="center"/>
      </w:pPr>
      <w:r>
        <w:rPr>
          <w:rFonts w:ascii="Times New Roman" w:hAnsi="Times New Roman"/>
          <w:b w:val="0"/>
          <w:i/>
          <w:sz w:val="24"/>
        </w:rPr>
        <w:t>D_{OIS = {4(z_{α/2 + z_β)²{[log(OR)]²</w:t>
      </w:r>
    </w:p>
    <w:p>
      <w:r>
        <w:rPr>
          <w:rFonts w:ascii="Times New Roman" w:hAnsi="Times New Roman"/>
          <w:b w:val="0"/>
          <w:i w:val="0"/>
          <w:sz w:val="24"/>
        </w:rPr>
        <w:t>where z_{\alpha/2} and z_\beta are the standard normal quantiles. This formula follows from inverting the power function: setting \text{Power} = 1 - \beta and solving for D.</w:t>
      </w:r>
    </w:p>
    <w:p>
      <w:r>
        <w:rPr>
          <w:rFonts w:ascii="Times New Roman" w:hAnsi="Times New Roman"/>
          <w:b w:val="0"/>
          <w:i w:val="0"/>
          <w:sz w:val="24"/>
        </w:rPr>
        <w:t>For example, to detect OR = 0.75 with \alpha = 0.05 and power = 80%:</w:t>
      </w:r>
    </w:p>
    <w:p>
      <w:pPr>
        <w:jc w:val="center"/>
      </w:pPr>
      <w:r>
        <w:rPr>
          <w:rFonts w:ascii="Times New Roman" w:hAnsi="Times New Roman"/>
          <w:b w:val="0"/>
          <w:i/>
          <w:sz w:val="24"/>
        </w:rPr>
        <w:t>D_{OIS = {4(1.96 + 0.84)²{[log(0.75)]² = {4 × 7.84{0.0827 ≈ 379  events</w:t>
      </w:r>
    </w:p>
    <w:p>
      <w:r>
        <w:rPr>
          <w:rFonts w:ascii="Times New Roman" w:hAnsi="Times New Roman"/>
          <w:b w:val="0"/>
          <w:i w:val="0"/>
          <w:sz w:val="24"/>
        </w:rPr>
        <w:t xml:space="preserve">The </w:t>
      </w:r>
      <w:r>
        <w:rPr>
          <w:rFonts w:ascii="Times New Roman" w:hAnsi="Times New Roman"/>
          <w:b/>
          <w:i w:val="0"/>
          <w:sz w:val="24"/>
        </w:rPr>
        <w:t>information fraction</w:t>
      </w:r>
      <w:r>
        <w:rPr>
          <w:rFonts w:ascii="Times New Roman" w:hAnsi="Times New Roman"/>
          <w:b w:val="0"/>
          <w:i w:val="0"/>
          <w:sz w:val="24"/>
        </w:rPr>
        <w:t xml:space="preserve"> \text{IF} = D_{\text{observed}} / D_{\text{OIS}} indicates the proportion of required information that has been accumulated. When IF &lt; 1, the meta-analysis is analogous to an interim analysis and cannot provide definitive conclusions.</w:t>
      </w:r>
    </w:p>
    <w:p>
      <w:pPr>
        <w:pStyle w:val="Heading4"/>
      </w:pPr>
      <w:r>
        <w:rPr>
          <w:color w:val="000000"/>
        </w:rPr>
        <w:t>Trial sequential analysis boundaries</w:t>
      </w:r>
    </w:p>
    <w:p>
      <w:r>
        <w:rPr>
          <w:rFonts w:ascii="Times New Roman" w:hAnsi="Times New Roman"/>
          <w:b w:val="0"/>
          <w:i w:val="0"/>
          <w:sz w:val="24"/>
        </w:rPr>
        <w:t>TSA applies group sequential monitoring boundaries to cumulative meta-analysis [8, 9]. The O'Brien-Fleming spending function defines the monitoring boundary at information fraction t as:</w:t>
      </w:r>
    </w:p>
    <w:p>
      <w:pPr>
        <w:jc w:val="center"/>
      </w:pPr>
      <w:r>
        <w:rPr>
          <w:rFonts w:ascii="Times New Roman" w:hAnsi="Times New Roman"/>
          <w:b w:val="0"/>
          <w:i/>
          <w:sz w:val="24"/>
        </w:rPr>
        <w:t>Z_{boundary(t) = {z_{α/2{√{t</w:t>
      </w:r>
    </w:p>
    <w:p>
      <w:r>
        <w:rPr>
          <w:rFonts w:ascii="Times New Roman" w:hAnsi="Times New Roman"/>
          <w:b w:val="0"/>
          <w:i w:val="0"/>
          <w:sz w:val="24"/>
        </w:rPr>
        <w:t>This boundary is conservative at early looks (requiring very large Z-values when little information has accumulated) and approaches the conventional boundary z_{\alpha/2} as t \to 1. The cumulative Z-statistic is computed as:</w:t>
      </w:r>
    </w:p>
    <w:p>
      <w:pPr>
        <w:jc w:val="center"/>
      </w:pPr>
      <w:r>
        <w:rPr>
          <w:rFonts w:ascii="Times New Roman" w:hAnsi="Times New Roman"/>
          <w:b w:val="0"/>
          <w:i/>
          <w:sz w:val="24"/>
        </w:rPr>
        <w:t>Z_k = {{μ_k{SE({μ_k)</w:t>
      </w:r>
    </w:p>
    <w:p>
      <w:r>
        <w:rPr>
          <w:rFonts w:ascii="Times New Roman" w:hAnsi="Times New Roman"/>
          <w:b w:val="0"/>
          <w:i w:val="0"/>
          <w:sz w:val="24"/>
        </w:rPr>
        <w:t>where \hat{\mu}_k and \text{SE}(\hat{\mu}_k) are the pooled estimate and its standard error after k studies. If |Z_k| exceeds Z_{\text{boundary}}(t_k), the evidence is sufficient to conclude efficacy (or futility). If the boundary is not crossed and t_k &lt; 1, the meta-analysis remains inconclusive.</w:t>
      </w:r>
    </w:p>
    <w:p>
      <w:pPr>
        <w:pStyle w:val="Heading3"/>
      </w:pPr>
      <w:r>
        <w:rPr>
          <w:color w:val="000000"/>
        </w:rPr>
        <w:t>Connection to GRADE</w:t>
      </w:r>
    </w:p>
    <w:p>
      <w:r>
        <w:rPr>
          <w:rFonts w:ascii="Times New Roman" w:hAnsi="Times New Roman"/>
          <w:b w:val="0"/>
          <w:i w:val="0"/>
          <w:sz w:val="24"/>
        </w:rPr>
        <w:t>The KOTHA Framework maps onto the GRADE domains as follows:</w:t>
      </w:r>
    </w:p>
    <w:p>
      <w:pPr>
        <w:pStyle w:val="ListBullet"/>
      </w:pPr>
      <w:r>
        <w:rPr>
          <w:rFonts w:ascii="Times New Roman" w:hAnsi="Times New Roman"/>
          <w:b/>
          <w:i w:val="0"/>
          <w:sz w:val="24"/>
        </w:rPr>
        <w:t>Imprecision</w:t>
      </w:r>
      <w:r>
        <w:rPr>
          <w:rFonts w:ascii="Times New Roman" w:hAnsi="Times New Roman"/>
          <w:b w:val="0"/>
          <w:i w:val="0"/>
          <w:sz w:val="24"/>
        </w:rPr>
        <w:t>: Module H Assessments 1 (OIS) and 4 (TSA) provide quantitative inputs. When OIS is not met, imprecision should be rated "very serious" rather than merely "serious."</w:t>
      </w:r>
    </w:p>
    <w:p>
      <w:pPr>
        <w:pStyle w:val="ListBullet"/>
      </w:pPr>
      <w:r>
        <w:rPr>
          <w:rFonts w:ascii="Times New Roman" w:hAnsi="Times New Roman"/>
          <w:b/>
          <w:i w:val="0"/>
          <w:sz w:val="24"/>
        </w:rPr>
        <w:t>Indirectness</w:t>
      </w:r>
      <w:r>
        <w:rPr>
          <w:rFonts w:ascii="Times New Roman" w:hAnsi="Times New Roman"/>
          <w:b w:val="0"/>
          <w:i w:val="0"/>
          <w:sz w:val="24"/>
        </w:rPr>
        <w:t>: Module K's event rate ratio \rho quantifies the degree to which the RCT population differs from the target population in terms of baseline risk. When \rho &lt; 0.67 (i.e., the RCT event rate is less than two-thirds of the real-world rate), indirectness should be rated "serious."</w:t>
      </w:r>
    </w:p>
    <w:p>
      <w:pPr>
        <w:pStyle w:val="ListBullet"/>
      </w:pPr>
      <w:r>
        <w:rPr>
          <w:rFonts w:ascii="Times New Roman" w:hAnsi="Times New Roman"/>
          <w:b/>
          <w:i w:val="0"/>
          <w:sz w:val="24"/>
        </w:rPr>
        <w:t>Inconsistency</w:t>
      </w:r>
      <w:r>
        <w:rPr>
          <w:rFonts w:ascii="Times New Roman" w:hAnsi="Times New Roman"/>
          <w:b w:val="0"/>
          <w:i w:val="0"/>
          <w:sz w:val="24"/>
        </w:rPr>
        <w:t>: Module T's between-study heterogeneity parameter \tau and the I^2 statistic inform this domain. The power prior approach additionally reveals whether inconsistency is driven by design differences (observational vs. RCT) rather than true heterogeneity.</w:t>
      </w:r>
    </w:p>
    <w:p>
      <w:pPr>
        <w:pStyle w:val="Heading2"/>
      </w:pPr>
      <w:r>
        <w:rPr>
          <w:color w:val="000000"/>
        </w:rPr>
        <w:t>Empirical illustration</w:t>
      </w:r>
    </w:p>
    <w:p>
      <w:pPr>
        <w:pStyle w:val="Heading3"/>
      </w:pPr>
      <w:r>
        <w:rPr>
          <w:color w:val="000000"/>
        </w:rPr>
        <w:t>Illustrative case selection</w:t>
      </w:r>
    </w:p>
    <w:p>
      <w:r>
        <w:rPr>
          <w:rFonts w:ascii="Times New Roman" w:hAnsi="Times New Roman"/>
          <w:b w:val="0"/>
          <w:i w:val="0"/>
          <w:sz w:val="24"/>
        </w:rPr>
        <w:t>To illustrate the KOTHA Framework, we applied all three modules to two well-documented cases where observational evidence and RCT evidence diverged, and where the reasons for divergence have been extensively discussed in the literature.</w:t>
      </w:r>
    </w:p>
    <w:p>
      <w:r>
        <w:rPr>
          <w:rFonts w:ascii="Times New Roman" w:hAnsi="Times New Roman"/>
          <w:b/>
          <w:i w:val="0"/>
          <w:sz w:val="24"/>
        </w:rPr>
        <w:t>Case 1: Intravenous magnesium in acute myocardial infarction (AMI)</w:t>
      </w:r>
      <w:r>
        <w:rPr>
          <w:rFonts w:ascii="Times New Roman" w:hAnsi="Times New Roman"/>
          <w:b w:val="0"/>
          <w:i w:val="0"/>
          <w:sz w:val="24"/>
        </w:rPr>
        <w:t>. Between 1984 and 1995, multiple small RCTs suggested that intravenous magnesium reduced mortality in AMI (pooled OR approximately 0.54). The large ISIS-4 trial (N = 58,050) found no benefit (OR approximately 1.05). This discordance has been attributed to temporal changes in background therapy (introduction of thrombolysis), which reduced control-group event rates and potentially diluted the treatment effect [18, 19].</w:t>
      </w:r>
    </w:p>
    <w:p>
      <w:r>
        <w:rPr>
          <w:rFonts w:ascii="Times New Roman" w:hAnsi="Times New Roman"/>
          <w:b/>
          <w:i w:val="0"/>
          <w:sz w:val="24"/>
        </w:rPr>
        <w:t>Case 2: Statins in heart failure (HF)</w:t>
      </w:r>
      <w:r>
        <w:rPr>
          <w:rFonts w:ascii="Times New Roman" w:hAnsi="Times New Roman"/>
          <w:b w:val="0"/>
          <w:i w:val="0"/>
          <w:sz w:val="24"/>
        </w:rPr>
        <w:t>. Observational cohort studies consistently reported reduced mortality with statin use (pooled HR approximately 0.72), whereas the two largest RCTs in this population—CORONA and GISSI-HF—found no significant benefit (pooled HR approximately 0.97). This discrepancy has been attributed to differences between RCT-enrolled and real-world patient populations, with RCT participants having lower baseline risk [20, 21].</w:t>
      </w:r>
    </w:p>
    <w:p>
      <w:pPr>
        <w:pStyle w:val="Heading3"/>
      </w:pPr>
      <w:r>
        <w:rPr>
          <w:color w:val="000000"/>
        </w:rPr>
        <w:t>Data sources</w:t>
      </w:r>
    </w:p>
    <w:p>
      <w:r>
        <w:rPr>
          <w:rFonts w:ascii="Times New Roman" w:hAnsi="Times New Roman"/>
          <w:b/>
          <w:i w:val="0"/>
          <w:sz w:val="24"/>
        </w:rPr>
        <w:t>Table 3: Study-level data for magnesium in AMI</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rFonts w:ascii="Times New Roman" w:hAnsi="Times New Roman"/>
                <w:b/>
                <w:sz w:val="20"/>
              </w:rPr>
              <w:t>Study</w:t>
            </w:r>
          </w:p>
        </w:tc>
        <w:tc>
          <w:tcPr>
            <w:tcW w:type="dxa" w:w="1170"/>
          </w:tcPr>
          <w:p>
            <w:r/>
            <w:r>
              <w:rPr>
                <w:rFonts w:ascii="Times New Roman" w:hAnsi="Times New Roman"/>
                <w:b/>
                <w:sz w:val="20"/>
              </w:rPr>
              <w:t>Year</w:t>
            </w:r>
          </w:p>
        </w:tc>
        <w:tc>
          <w:tcPr>
            <w:tcW w:type="dxa" w:w="1170"/>
          </w:tcPr>
          <w:p>
            <w:r/>
            <w:r>
              <w:rPr>
                <w:rFonts w:ascii="Times New Roman" w:hAnsi="Times New Roman"/>
                <w:b/>
                <w:sz w:val="20"/>
              </w:rPr>
              <w:t>Era</w:t>
            </w:r>
          </w:p>
        </w:tc>
        <w:tc>
          <w:tcPr>
            <w:tcW w:type="dxa" w:w="1170"/>
          </w:tcPr>
          <w:p>
            <w:r/>
            <w:r>
              <w:rPr>
                <w:rFonts w:ascii="Times New Roman" w:hAnsi="Times New Roman"/>
                <w:b/>
                <w:sz w:val="20"/>
              </w:rPr>
              <w:t>Events (Mg)</w:t>
            </w:r>
          </w:p>
        </w:tc>
        <w:tc>
          <w:tcPr>
            <w:tcW w:type="dxa" w:w="1170"/>
          </w:tcPr>
          <w:p>
            <w:r/>
            <w:r>
              <w:rPr>
                <w:rFonts w:ascii="Times New Roman" w:hAnsi="Times New Roman"/>
                <w:b/>
                <w:sz w:val="20"/>
              </w:rPr>
              <w:t>N (Mg)</w:t>
            </w:r>
          </w:p>
        </w:tc>
        <w:tc>
          <w:tcPr>
            <w:tcW w:type="dxa" w:w="1170"/>
          </w:tcPr>
          <w:p>
            <w:r/>
            <w:r>
              <w:rPr>
                <w:rFonts w:ascii="Times New Roman" w:hAnsi="Times New Roman"/>
                <w:b/>
                <w:sz w:val="20"/>
              </w:rPr>
              <w:t>Events (Ctrl)</w:t>
            </w:r>
          </w:p>
        </w:tc>
        <w:tc>
          <w:tcPr>
            <w:tcW w:type="dxa" w:w="1170"/>
          </w:tcPr>
          <w:p>
            <w:r/>
            <w:r>
              <w:rPr>
                <w:rFonts w:ascii="Times New Roman" w:hAnsi="Times New Roman"/>
                <w:b/>
                <w:sz w:val="20"/>
              </w:rPr>
              <w:t>N (Ctrl)</w:t>
            </w:r>
          </w:p>
        </w:tc>
        <w:tc>
          <w:tcPr>
            <w:tcW w:type="dxa" w:w="1170"/>
          </w:tcPr>
          <w:p>
            <w:r/>
            <w:r>
              <w:rPr>
                <w:rFonts w:ascii="Times New Roman" w:hAnsi="Times New Roman"/>
                <w:b/>
                <w:sz w:val="20"/>
              </w:rPr>
              <w:t>Control rate</w:t>
            </w:r>
          </w:p>
        </w:tc>
      </w:tr>
      <w:tr>
        <w:tc>
          <w:tcPr>
            <w:tcW w:type="dxa" w:w="1170"/>
          </w:tcPr>
          <w:p>
            <w:r/>
            <w:r>
              <w:rPr>
                <w:rFonts w:ascii="Times New Roman" w:hAnsi="Times New Roman"/>
                <w:sz w:val="20"/>
              </w:rPr>
              <w:t>Morton 1984</w:t>
            </w:r>
          </w:p>
        </w:tc>
        <w:tc>
          <w:tcPr>
            <w:tcW w:type="dxa" w:w="1170"/>
          </w:tcPr>
          <w:p>
            <w:r/>
            <w:r>
              <w:rPr>
                <w:rFonts w:ascii="Times New Roman" w:hAnsi="Times New Roman"/>
                <w:sz w:val="20"/>
              </w:rPr>
              <w:t>1984</w:t>
            </w:r>
          </w:p>
        </w:tc>
        <w:tc>
          <w:tcPr>
            <w:tcW w:type="dxa" w:w="1170"/>
          </w:tcPr>
          <w:p>
            <w:r/>
            <w:r>
              <w:rPr>
                <w:rFonts w:ascii="Times New Roman" w:hAnsi="Times New Roman"/>
                <w:sz w:val="20"/>
              </w:rPr>
              <w:t>Pre-thrombolysis</w:t>
            </w:r>
          </w:p>
        </w:tc>
        <w:tc>
          <w:tcPr>
            <w:tcW w:type="dxa" w:w="1170"/>
          </w:tcPr>
          <w:p>
            <w:r/>
            <w:r>
              <w:rPr>
                <w:rFonts w:ascii="Times New Roman" w:hAnsi="Times New Roman"/>
                <w:sz w:val="20"/>
              </w:rPr>
              <w:t>1</w:t>
            </w:r>
          </w:p>
        </w:tc>
        <w:tc>
          <w:tcPr>
            <w:tcW w:type="dxa" w:w="1170"/>
          </w:tcPr>
          <w:p>
            <w:r/>
            <w:r>
              <w:rPr>
                <w:rFonts w:ascii="Times New Roman" w:hAnsi="Times New Roman"/>
                <w:sz w:val="20"/>
              </w:rPr>
              <w:t>40</w:t>
            </w:r>
          </w:p>
        </w:tc>
        <w:tc>
          <w:tcPr>
            <w:tcW w:type="dxa" w:w="1170"/>
          </w:tcPr>
          <w:p>
            <w:r/>
            <w:r>
              <w:rPr>
                <w:rFonts w:ascii="Times New Roman" w:hAnsi="Times New Roman"/>
                <w:sz w:val="20"/>
              </w:rPr>
              <w:t>2</w:t>
            </w:r>
          </w:p>
        </w:tc>
        <w:tc>
          <w:tcPr>
            <w:tcW w:type="dxa" w:w="1170"/>
          </w:tcPr>
          <w:p>
            <w:r/>
            <w:r>
              <w:rPr>
                <w:rFonts w:ascii="Times New Roman" w:hAnsi="Times New Roman"/>
                <w:sz w:val="20"/>
              </w:rPr>
              <w:t>36</w:t>
            </w:r>
          </w:p>
        </w:tc>
        <w:tc>
          <w:tcPr>
            <w:tcW w:type="dxa" w:w="1170"/>
          </w:tcPr>
          <w:p>
            <w:r/>
            <w:r>
              <w:rPr>
                <w:rFonts w:ascii="Times New Roman" w:hAnsi="Times New Roman"/>
                <w:sz w:val="20"/>
              </w:rPr>
              <w:t>5.6%</w:t>
            </w:r>
          </w:p>
        </w:tc>
      </w:tr>
      <w:tr>
        <w:tc>
          <w:tcPr>
            <w:tcW w:type="dxa" w:w="1170"/>
          </w:tcPr>
          <w:p>
            <w:r/>
            <w:r>
              <w:rPr>
                <w:rFonts w:ascii="Times New Roman" w:hAnsi="Times New Roman"/>
                <w:sz w:val="20"/>
              </w:rPr>
              <w:t>Rasmussen 1986</w:t>
            </w:r>
          </w:p>
        </w:tc>
        <w:tc>
          <w:tcPr>
            <w:tcW w:type="dxa" w:w="1170"/>
          </w:tcPr>
          <w:p>
            <w:r/>
            <w:r>
              <w:rPr>
                <w:rFonts w:ascii="Times New Roman" w:hAnsi="Times New Roman"/>
                <w:sz w:val="20"/>
              </w:rPr>
              <w:t>1986</w:t>
            </w:r>
          </w:p>
        </w:tc>
        <w:tc>
          <w:tcPr>
            <w:tcW w:type="dxa" w:w="1170"/>
          </w:tcPr>
          <w:p>
            <w:r/>
            <w:r>
              <w:rPr>
                <w:rFonts w:ascii="Times New Roman" w:hAnsi="Times New Roman"/>
                <w:sz w:val="20"/>
              </w:rPr>
              <w:t>Pre-thrombolysis</w:t>
            </w:r>
          </w:p>
        </w:tc>
        <w:tc>
          <w:tcPr>
            <w:tcW w:type="dxa" w:w="1170"/>
          </w:tcPr>
          <w:p>
            <w:r/>
            <w:r>
              <w:rPr>
                <w:rFonts w:ascii="Times New Roman" w:hAnsi="Times New Roman"/>
                <w:sz w:val="20"/>
              </w:rPr>
              <w:t>1</w:t>
            </w:r>
          </w:p>
        </w:tc>
        <w:tc>
          <w:tcPr>
            <w:tcW w:type="dxa" w:w="1170"/>
          </w:tcPr>
          <w:p>
            <w:r/>
            <w:r>
              <w:rPr>
                <w:rFonts w:ascii="Times New Roman" w:hAnsi="Times New Roman"/>
                <w:sz w:val="20"/>
              </w:rPr>
              <w:t>56</w:t>
            </w:r>
          </w:p>
        </w:tc>
        <w:tc>
          <w:tcPr>
            <w:tcW w:type="dxa" w:w="1170"/>
          </w:tcPr>
          <w:p>
            <w:r/>
            <w:r>
              <w:rPr>
                <w:rFonts w:ascii="Times New Roman" w:hAnsi="Times New Roman"/>
                <w:sz w:val="20"/>
              </w:rPr>
              <w:t>9</w:t>
            </w:r>
          </w:p>
        </w:tc>
        <w:tc>
          <w:tcPr>
            <w:tcW w:type="dxa" w:w="1170"/>
          </w:tcPr>
          <w:p>
            <w:r/>
            <w:r>
              <w:rPr>
                <w:rFonts w:ascii="Times New Roman" w:hAnsi="Times New Roman"/>
                <w:sz w:val="20"/>
              </w:rPr>
              <w:t>79</w:t>
            </w:r>
          </w:p>
        </w:tc>
        <w:tc>
          <w:tcPr>
            <w:tcW w:type="dxa" w:w="1170"/>
          </w:tcPr>
          <w:p>
            <w:r/>
            <w:r>
              <w:rPr>
                <w:rFonts w:ascii="Times New Roman" w:hAnsi="Times New Roman"/>
                <w:sz w:val="20"/>
              </w:rPr>
              <w:t>11.4%</w:t>
            </w:r>
          </w:p>
        </w:tc>
      </w:tr>
      <w:tr>
        <w:tc>
          <w:tcPr>
            <w:tcW w:type="dxa" w:w="1170"/>
          </w:tcPr>
          <w:p>
            <w:r/>
            <w:r>
              <w:rPr>
                <w:rFonts w:ascii="Times New Roman" w:hAnsi="Times New Roman"/>
                <w:sz w:val="20"/>
              </w:rPr>
              <w:t>Smith 1986</w:t>
            </w:r>
          </w:p>
        </w:tc>
        <w:tc>
          <w:tcPr>
            <w:tcW w:type="dxa" w:w="1170"/>
          </w:tcPr>
          <w:p>
            <w:r/>
            <w:r>
              <w:rPr>
                <w:rFonts w:ascii="Times New Roman" w:hAnsi="Times New Roman"/>
                <w:sz w:val="20"/>
              </w:rPr>
              <w:t>1986</w:t>
            </w:r>
          </w:p>
        </w:tc>
        <w:tc>
          <w:tcPr>
            <w:tcW w:type="dxa" w:w="1170"/>
          </w:tcPr>
          <w:p>
            <w:r/>
            <w:r>
              <w:rPr>
                <w:rFonts w:ascii="Times New Roman" w:hAnsi="Times New Roman"/>
                <w:sz w:val="20"/>
              </w:rPr>
              <w:t>Pre-thrombolysis</w:t>
            </w:r>
          </w:p>
        </w:tc>
        <w:tc>
          <w:tcPr>
            <w:tcW w:type="dxa" w:w="1170"/>
          </w:tcPr>
          <w:p>
            <w:r/>
            <w:r>
              <w:rPr>
                <w:rFonts w:ascii="Times New Roman" w:hAnsi="Times New Roman"/>
                <w:sz w:val="20"/>
              </w:rPr>
              <w:t>2</w:t>
            </w:r>
          </w:p>
        </w:tc>
        <w:tc>
          <w:tcPr>
            <w:tcW w:type="dxa" w:w="1170"/>
          </w:tcPr>
          <w:p>
            <w:r/>
            <w:r>
              <w:rPr>
                <w:rFonts w:ascii="Times New Roman" w:hAnsi="Times New Roman"/>
                <w:sz w:val="20"/>
              </w:rPr>
              <w:t>200</w:t>
            </w:r>
          </w:p>
        </w:tc>
        <w:tc>
          <w:tcPr>
            <w:tcW w:type="dxa" w:w="1170"/>
          </w:tcPr>
          <w:p>
            <w:r/>
            <w:r>
              <w:rPr>
                <w:rFonts w:ascii="Times New Roman" w:hAnsi="Times New Roman"/>
                <w:sz w:val="20"/>
              </w:rPr>
              <w:t>7</w:t>
            </w:r>
          </w:p>
        </w:tc>
        <w:tc>
          <w:tcPr>
            <w:tcW w:type="dxa" w:w="1170"/>
          </w:tcPr>
          <w:p>
            <w:r/>
            <w:r>
              <w:rPr>
                <w:rFonts w:ascii="Times New Roman" w:hAnsi="Times New Roman"/>
                <w:sz w:val="20"/>
              </w:rPr>
              <w:t>200</w:t>
            </w:r>
          </w:p>
        </w:tc>
        <w:tc>
          <w:tcPr>
            <w:tcW w:type="dxa" w:w="1170"/>
          </w:tcPr>
          <w:p>
            <w:r/>
            <w:r>
              <w:rPr>
                <w:rFonts w:ascii="Times New Roman" w:hAnsi="Times New Roman"/>
                <w:sz w:val="20"/>
              </w:rPr>
              <w:t>3.5%</w:t>
            </w:r>
          </w:p>
        </w:tc>
      </w:tr>
      <w:tr>
        <w:tc>
          <w:tcPr>
            <w:tcW w:type="dxa" w:w="1170"/>
          </w:tcPr>
          <w:p>
            <w:r/>
            <w:r>
              <w:rPr>
                <w:rFonts w:ascii="Times New Roman" w:hAnsi="Times New Roman"/>
                <w:sz w:val="20"/>
              </w:rPr>
              <w:t>Abraham 1987</w:t>
            </w:r>
          </w:p>
        </w:tc>
        <w:tc>
          <w:tcPr>
            <w:tcW w:type="dxa" w:w="1170"/>
          </w:tcPr>
          <w:p>
            <w:r/>
            <w:r>
              <w:rPr>
                <w:rFonts w:ascii="Times New Roman" w:hAnsi="Times New Roman"/>
                <w:sz w:val="20"/>
              </w:rPr>
              <w:t>1987</w:t>
            </w:r>
          </w:p>
        </w:tc>
        <w:tc>
          <w:tcPr>
            <w:tcW w:type="dxa" w:w="1170"/>
          </w:tcPr>
          <w:p>
            <w:r/>
            <w:r>
              <w:rPr>
                <w:rFonts w:ascii="Times New Roman" w:hAnsi="Times New Roman"/>
                <w:sz w:val="20"/>
              </w:rPr>
              <w:t>Pre-thrombolysis</w:t>
            </w:r>
          </w:p>
        </w:tc>
        <w:tc>
          <w:tcPr>
            <w:tcW w:type="dxa" w:w="1170"/>
          </w:tcPr>
          <w:p>
            <w:r/>
            <w:r>
              <w:rPr>
                <w:rFonts w:ascii="Times New Roman" w:hAnsi="Times New Roman"/>
                <w:sz w:val="20"/>
              </w:rPr>
              <w:t>1</w:t>
            </w:r>
          </w:p>
        </w:tc>
        <w:tc>
          <w:tcPr>
            <w:tcW w:type="dxa" w:w="1170"/>
          </w:tcPr>
          <w:p>
            <w:r/>
            <w:r>
              <w:rPr>
                <w:rFonts w:ascii="Times New Roman" w:hAnsi="Times New Roman"/>
                <w:sz w:val="20"/>
              </w:rPr>
              <w:t>48</w:t>
            </w:r>
          </w:p>
        </w:tc>
        <w:tc>
          <w:tcPr>
            <w:tcW w:type="dxa" w:w="1170"/>
          </w:tcPr>
          <w:p>
            <w:r/>
            <w:r>
              <w:rPr>
                <w:rFonts w:ascii="Times New Roman" w:hAnsi="Times New Roman"/>
                <w:sz w:val="20"/>
              </w:rPr>
              <w:t>1</w:t>
            </w:r>
          </w:p>
        </w:tc>
        <w:tc>
          <w:tcPr>
            <w:tcW w:type="dxa" w:w="1170"/>
          </w:tcPr>
          <w:p>
            <w:r/>
            <w:r>
              <w:rPr>
                <w:rFonts w:ascii="Times New Roman" w:hAnsi="Times New Roman"/>
                <w:sz w:val="20"/>
              </w:rPr>
              <w:t>46</w:t>
            </w:r>
          </w:p>
        </w:tc>
        <w:tc>
          <w:tcPr>
            <w:tcW w:type="dxa" w:w="1170"/>
          </w:tcPr>
          <w:p>
            <w:r/>
            <w:r>
              <w:rPr>
                <w:rFonts w:ascii="Times New Roman" w:hAnsi="Times New Roman"/>
                <w:sz w:val="20"/>
              </w:rPr>
              <w:t>2.2%</w:t>
            </w:r>
          </w:p>
        </w:tc>
      </w:tr>
      <w:tr>
        <w:tc>
          <w:tcPr>
            <w:tcW w:type="dxa" w:w="1170"/>
          </w:tcPr>
          <w:p>
            <w:r/>
            <w:r>
              <w:rPr>
                <w:rFonts w:ascii="Times New Roman" w:hAnsi="Times New Roman"/>
                <w:sz w:val="20"/>
              </w:rPr>
              <w:t>Ceremuzynski 1989</w:t>
            </w:r>
          </w:p>
        </w:tc>
        <w:tc>
          <w:tcPr>
            <w:tcW w:type="dxa" w:w="1170"/>
          </w:tcPr>
          <w:p>
            <w:r/>
            <w:r>
              <w:rPr>
                <w:rFonts w:ascii="Times New Roman" w:hAnsi="Times New Roman"/>
                <w:sz w:val="20"/>
              </w:rPr>
              <w:t>1989</w:t>
            </w:r>
          </w:p>
        </w:tc>
        <w:tc>
          <w:tcPr>
            <w:tcW w:type="dxa" w:w="1170"/>
          </w:tcPr>
          <w:p>
            <w:r/>
            <w:r>
              <w:rPr>
                <w:rFonts w:ascii="Times New Roman" w:hAnsi="Times New Roman"/>
                <w:sz w:val="20"/>
              </w:rPr>
              <w:t>Pre-thrombolysis</w:t>
            </w:r>
          </w:p>
        </w:tc>
        <w:tc>
          <w:tcPr>
            <w:tcW w:type="dxa" w:w="1170"/>
          </w:tcPr>
          <w:p>
            <w:r/>
            <w:r>
              <w:rPr>
                <w:rFonts w:ascii="Times New Roman" w:hAnsi="Times New Roman"/>
                <w:sz w:val="20"/>
              </w:rPr>
              <w:t>1</w:t>
            </w:r>
          </w:p>
        </w:tc>
        <w:tc>
          <w:tcPr>
            <w:tcW w:type="dxa" w:w="1170"/>
          </w:tcPr>
          <w:p>
            <w:r/>
            <w:r>
              <w:rPr>
                <w:rFonts w:ascii="Times New Roman" w:hAnsi="Times New Roman"/>
                <w:sz w:val="20"/>
              </w:rPr>
              <w:t>25</w:t>
            </w:r>
          </w:p>
        </w:tc>
        <w:tc>
          <w:tcPr>
            <w:tcW w:type="dxa" w:w="1170"/>
          </w:tcPr>
          <w:p>
            <w:r/>
            <w:r>
              <w:rPr>
                <w:rFonts w:ascii="Times New Roman" w:hAnsi="Times New Roman"/>
                <w:sz w:val="20"/>
              </w:rPr>
              <w:t>3</w:t>
            </w:r>
          </w:p>
        </w:tc>
        <w:tc>
          <w:tcPr>
            <w:tcW w:type="dxa" w:w="1170"/>
          </w:tcPr>
          <w:p>
            <w:r/>
            <w:r>
              <w:rPr>
                <w:rFonts w:ascii="Times New Roman" w:hAnsi="Times New Roman"/>
                <w:sz w:val="20"/>
              </w:rPr>
              <w:t>23</w:t>
            </w:r>
          </w:p>
        </w:tc>
        <w:tc>
          <w:tcPr>
            <w:tcW w:type="dxa" w:w="1170"/>
          </w:tcPr>
          <w:p>
            <w:r/>
            <w:r>
              <w:rPr>
                <w:rFonts w:ascii="Times New Roman" w:hAnsi="Times New Roman"/>
                <w:sz w:val="20"/>
              </w:rPr>
              <w:t>13.0%</w:t>
            </w:r>
          </w:p>
        </w:tc>
      </w:tr>
      <w:tr>
        <w:tc>
          <w:tcPr>
            <w:tcW w:type="dxa" w:w="1170"/>
          </w:tcPr>
          <w:p>
            <w:r/>
            <w:r>
              <w:rPr>
                <w:rFonts w:ascii="Times New Roman" w:hAnsi="Times New Roman"/>
                <w:sz w:val="20"/>
              </w:rPr>
              <w:t>Shechter 1990</w:t>
            </w:r>
          </w:p>
        </w:tc>
        <w:tc>
          <w:tcPr>
            <w:tcW w:type="dxa" w:w="1170"/>
          </w:tcPr>
          <w:p>
            <w:r/>
            <w:r>
              <w:rPr>
                <w:rFonts w:ascii="Times New Roman" w:hAnsi="Times New Roman"/>
                <w:sz w:val="20"/>
              </w:rPr>
              <w:t>1990</w:t>
            </w:r>
          </w:p>
        </w:tc>
        <w:tc>
          <w:tcPr>
            <w:tcW w:type="dxa" w:w="1170"/>
          </w:tcPr>
          <w:p>
            <w:r/>
            <w:r>
              <w:rPr>
                <w:rFonts w:ascii="Times New Roman" w:hAnsi="Times New Roman"/>
                <w:sz w:val="20"/>
              </w:rPr>
              <w:t>Pre-thrombolysis</w:t>
            </w:r>
          </w:p>
        </w:tc>
        <w:tc>
          <w:tcPr>
            <w:tcW w:type="dxa" w:w="1170"/>
          </w:tcPr>
          <w:p>
            <w:r/>
            <w:r>
              <w:rPr>
                <w:rFonts w:ascii="Times New Roman" w:hAnsi="Times New Roman"/>
                <w:sz w:val="20"/>
              </w:rPr>
              <w:t>1</w:t>
            </w:r>
          </w:p>
        </w:tc>
        <w:tc>
          <w:tcPr>
            <w:tcW w:type="dxa" w:w="1170"/>
          </w:tcPr>
          <w:p>
            <w:r/>
            <w:r>
              <w:rPr>
                <w:rFonts w:ascii="Times New Roman" w:hAnsi="Times New Roman"/>
                <w:sz w:val="20"/>
              </w:rPr>
              <w:t>50</w:t>
            </w:r>
          </w:p>
        </w:tc>
        <w:tc>
          <w:tcPr>
            <w:tcW w:type="dxa" w:w="1170"/>
          </w:tcPr>
          <w:p>
            <w:r/>
            <w:r>
              <w:rPr>
                <w:rFonts w:ascii="Times New Roman" w:hAnsi="Times New Roman"/>
                <w:sz w:val="20"/>
              </w:rPr>
              <w:t>9</w:t>
            </w:r>
          </w:p>
        </w:tc>
        <w:tc>
          <w:tcPr>
            <w:tcW w:type="dxa" w:w="1170"/>
          </w:tcPr>
          <w:p>
            <w:r/>
            <w:r>
              <w:rPr>
                <w:rFonts w:ascii="Times New Roman" w:hAnsi="Times New Roman"/>
                <w:sz w:val="20"/>
              </w:rPr>
              <w:t>53</w:t>
            </w:r>
          </w:p>
        </w:tc>
        <w:tc>
          <w:tcPr>
            <w:tcW w:type="dxa" w:w="1170"/>
          </w:tcPr>
          <w:p>
            <w:r/>
            <w:r>
              <w:rPr>
                <w:rFonts w:ascii="Times New Roman" w:hAnsi="Times New Roman"/>
                <w:sz w:val="20"/>
              </w:rPr>
              <w:t>17.0%</w:t>
            </w:r>
          </w:p>
        </w:tc>
      </w:tr>
      <w:tr>
        <w:tc>
          <w:tcPr>
            <w:tcW w:type="dxa" w:w="1170"/>
          </w:tcPr>
          <w:p>
            <w:r/>
            <w:r>
              <w:rPr>
                <w:rFonts w:ascii="Times New Roman" w:hAnsi="Times New Roman"/>
                <w:sz w:val="20"/>
              </w:rPr>
              <w:t>Singh 1990</w:t>
            </w:r>
          </w:p>
        </w:tc>
        <w:tc>
          <w:tcPr>
            <w:tcW w:type="dxa" w:w="1170"/>
          </w:tcPr>
          <w:p>
            <w:r/>
            <w:r>
              <w:rPr>
                <w:rFonts w:ascii="Times New Roman" w:hAnsi="Times New Roman"/>
                <w:sz w:val="20"/>
              </w:rPr>
              <w:t>1990</w:t>
            </w:r>
          </w:p>
        </w:tc>
        <w:tc>
          <w:tcPr>
            <w:tcW w:type="dxa" w:w="1170"/>
          </w:tcPr>
          <w:p>
            <w:r/>
            <w:r>
              <w:rPr>
                <w:rFonts w:ascii="Times New Roman" w:hAnsi="Times New Roman"/>
                <w:sz w:val="20"/>
              </w:rPr>
              <w:t>Pre-thrombolysis</w:t>
            </w:r>
          </w:p>
        </w:tc>
        <w:tc>
          <w:tcPr>
            <w:tcW w:type="dxa" w:w="1170"/>
          </w:tcPr>
          <w:p>
            <w:r/>
            <w:r>
              <w:rPr>
                <w:rFonts w:ascii="Times New Roman" w:hAnsi="Times New Roman"/>
                <w:sz w:val="20"/>
              </w:rPr>
              <w:t>6</w:t>
            </w:r>
          </w:p>
        </w:tc>
        <w:tc>
          <w:tcPr>
            <w:tcW w:type="dxa" w:w="1170"/>
          </w:tcPr>
          <w:p>
            <w:r/>
            <w:r>
              <w:rPr>
                <w:rFonts w:ascii="Times New Roman" w:hAnsi="Times New Roman"/>
                <w:sz w:val="20"/>
              </w:rPr>
              <w:t>39</w:t>
            </w:r>
          </w:p>
        </w:tc>
        <w:tc>
          <w:tcPr>
            <w:tcW w:type="dxa" w:w="1170"/>
          </w:tcPr>
          <w:p>
            <w:r/>
            <w:r>
              <w:rPr>
                <w:rFonts w:ascii="Times New Roman" w:hAnsi="Times New Roman"/>
                <w:sz w:val="20"/>
              </w:rPr>
              <w:t>11</w:t>
            </w:r>
          </w:p>
        </w:tc>
        <w:tc>
          <w:tcPr>
            <w:tcW w:type="dxa" w:w="1170"/>
          </w:tcPr>
          <w:p>
            <w:r/>
            <w:r>
              <w:rPr>
                <w:rFonts w:ascii="Times New Roman" w:hAnsi="Times New Roman"/>
                <w:sz w:val="20"/>
              </w:rPr>
              <w:t>37</w:t>
            </w:r>
          </w:p>
        </w:tc>
        <w:tc>
          <w:tcPr>
            <w:tcW w:type="dxa" w:w="1170"/>
          </w:tcPr>
          <w:p>
            <w:r/>
            <w:r>
              <w:rPr>
                <w:rFonts w:ascii="Times New Roman" w:hAnsi="Times New Roman"/>
                <w:sz w:val="20"/>
              </w:rPr>
              <w:t>29.7%</w:t>
            </w:r>
          </w:p>
        </w:tc>
      </w:tr>
      <w:tr>
        <w:tc>
          <w:tcPr>
            <w:tcW w:type="dxa" w:w="1170"/>
          </w:tcPr>
          <w:p>
            <w:r/>
            <w:r>
              <w:rPr>
                <w:rFonts w:ascii="Times New Roman" w:hAnsi="Times New Roman"/>
                <w:sz w:val="20"/>
              </w:rPr>
              <w:t>Feldstedt 1991</w:t>
            </w:r>
          </w:p>
        </w:tc>
        <w:tc>
          <w:tcPr>
            <w:tcW w:type="dxa" w:w="1170"/>
          </w:tcPr>
          <w:p>
            <w:r/>
            <w:r>
              <w:rPr>
                <w:rFonts w:ascii="Times New Roman" w:hAnsi="Times New Roman"/>
                <w:sz w:val="20"/>
              </w:rPr>
              <w:t>1991</w:t>
            </w:r>
          </w:p>
        </w:tc>
        <w:tc>
          <w:tcPr>
            <w:tcW w:type="dxa" w:w="1170"/>
          </w:tcPr>
          <w:p>
            <w:r/>
            <w:r>
              <w:rPr>
                <w:rFonts w:ascii="Times New Roman" w:hAnsi="Times New Roman"/>
                <w:sz w:val="20"/>
              </w:rPr>
              <w:t>Transition</w:t>
            </w:r>
          </w:p>
        </w:tc>
        <w:tc>
          <w:tcPr>
            <w:tcW w:type="dxa" w:w="1170"/>
          </w:tcPr>
          <w:p>
            <w:r/>
            <w:r>
              <w:rPr>
                <w:rFonts w:ascii="Times New Roman" w:hAnsi="Times New Roman"/>
                <w:sz w:val="20"/>
              </w:rPr>
              <w:t>4</w:t>
            </w:r>
          </w:p>
        </w:tc>
        <w:tc>
          <w:tcPr>
            <w:tcW w:type="dxa" w:w="1170"/>
          </w:tcPr>
          <w:p>
            <w:r/>
            <w:r>
              <w:rPr>
                <w:rFonts w:ascii="Times New Roman" w:hAnsi="Times New Roman"/>
                <w:sz w:val="20"/>
              </w:rPr>
              <w:t>100</w:t>
            </w:r>
          </w:p>
        </w:tc>
        <w:tc>
          <w:tcPr>
            <w:tcW w:type="dxa" w:w="1170"/>
          </w:tcPr>
          <w:p>
            <w:r/>
            <w:r>
              <w:rPr>
                <w:rFonts w:ascii="Times New Roman" w:hAnsi="Times New Roman"/>
                <w:sz w:val="20"/>
              </w:rPr>
              <w:t>7</w:t>
            </w:r>
          </w:p>
        </w:tc>
        <w:tc>
          <w:tcPr>
            <w:tcW w:type="dxa" w:w="1170"/>
          </w:tcPr>
          <w:p>
            <w:r/>
            <w:r>
              <w:rPr>
                <w:rFonts w:ascii="Times New Roman" w:hAnsi="Times New Roman"/>
                <w:sz w:val="20"/>
              </w:rPr>
              <w:t>100</w:t>
            </w:r>
          </w:p>
        </w:tc>
        <w:tc>
          <w:tcPr>
            <w:tcW w:type="dxa" w:w="1170"/>
          </w:tcPr>
          <w:p>
            <w:r/>
            <w:r>
              <w:rPr>
                <w:rFonts w:ascii="Times New Roman" w:hAnsi="Times New Roman"/>
                <w:sz w:val="20"/>
              </w:rPr>
              <w:t>7.0%</w:t>
            </w:r>
          </w:p>
        </w:tc>
      </w:tr>
      <w:tr>
        <w:tc>
          <w:tcPr>
            <w:tcW w:type="dxa" w:w="1170"/>
          </w:tcPr>
          <w:p>
            <w:r/>
            <w:r>
              <w:rPr>
                <w:rFonts w:ascii="Times New Roman" w:hAnsi="Times New Roman"/>
                <w:sz w:val="20"/>
              </w:rPr>
              <w:t>Schechter 1991</w:t>
            </w:r>
          </w:p>
        </w:tc>
        <w:tc>
          <w:tcPr>
            <w:tcW w:type="dxa" w:w="1170"/>
          </w:tcPr>
          <w:p>
            <w:r/>
            <w:r>
              <w:rPr>
                <w:rFonts w:ascii="Times New Roman" w:hAnsi="Times New Roman"/>
                <w:sz w:val="20"/>
              </w:rPr>
              <w:t>1991</w:t>
            </w:r>
          </w:p>
        </w:tc>
        <w:tc>
          <w:tcPr>
            <w:tcW w:type="dxa" w:w="1170"/>
          </w:tcPr>
          <w:p>
            <w:r/>
            <w:r>
              <w:rPr>
                <w:rFonts w:ascii="Times New Roman" w:hAnsi="Times New Roman"/>
                <w:sz w:val="20"/>
              </w:rPr>
              <w:t>Transition</w:t>
            </w:r>
          </w:p>
        </w:tc>
        <w:tc>
          <w:tcPr>
            <w:tcW w:type="dxa" w:w="1170"/>
          </w:tcPr>
          <w:p>
            <w:r/>
            <w:r>
              <w:rPr>
                <w:rFonts w:ascii="Times New Roman" w:hAnsi="Times New Roman"/>
                <w:sz w:val="20"/>
              </w:rPr>
              <w:t>1</w:t>
            </w:r>
          </w:p>
        </w:tc>
        <w:tc>
          <w:tcPr>
            <w:tcW w:type="dxa" w:w="1170"/>
          </w:tcPr>
          <w:p>
            <w:r/>
            <w:r>
              <w:rPr>
                <w:rFonts w:ascii="Times New Roman" w:hAnsi="Times New Roman"/>
                <w:sz w:val="20"/>
              </w:rPr>
              <w:t>59</w:t>
            </w:r>
          </w:p>
        </w:tc>
        <w:tc>
          <w:tcPr>
            <w:tcW w:type="dxa" w:w="1170"/>
          </w:tcPr>
          <w:p>
            <w:r/>
            <w:r>
              <w:rPr>
                <w:rFonts w:ascii="Times New Roman" w:hAnsi="Times New Roman"/>
                <w:sz w:val="20"/>
              </w:rPr>
              <w:t>2</w:t>
            </w:r>
          </w:p>
        </w:tc>
        <w:tc>
          <w:tcPr>
            <w:tcW w:type="dxa" w:w="1170"/>
          </w:tcPr>
          <w:p>
            <w:r/>
            <w:r>
              <w:rPr>
                <w:rFonts w:ascii="Times New Roman" w:hAnsi="Times New Roman"/>
                <w:sz w:val="20"/>
              </w:rPr>
              <w:t>57</w:t>
            </w:r>
          </w:p>
        </w:tc>
        <w:tc>
          <w:tcPr>
            <w:tcW w:type="dxa" w:w="1170"/>
          </w:tcPr>
          <w:p>
            <w:r/>
            <w:r>
              <w:rPr>
                <w:rFonts w:ascii="Times New Roman" w:hAnsi="Times New Roman"/>
                <w:sz w:val="20"/>
              </w:rPr>
              <w:t>3.5%</w:t>
            </w:r>
          </w:p>
        </w:tc>
      </w:tr>
      <w:tr>
        <w:tc>
          <w:tcPr>
            <w:tcW w:type="dxa" w:w="1170"/>
          </w:tcPr>
          <w:p>
            <w:r/>
            <w:r>
              <w:rPr>
                <w:rFonts w:ascii="Times New Roman" w:hAnsi="Times New Roman"/>
                <w:sz w:val="20"/>
              </w:rPr>
              <w:t>LIMIT-2 1992</w:t>
            </w:r>
          </w:p>
        </w:tc>
        <w:tc>
          <w:tcPr>
            <w:tcW w:type="dxa" w:w="1170"/>
          </w:tcPr>
          <w:p>
            <w:r/>
            <w:r>
              <w:rPr>
                <w:rFonts w:ascii="Times New Roman" w:hAnsi="Times New Roman"/>
                <w:sz w:val="20"/>
              </w:rPr>
              <w:t>1992</w:t>
            </w:r>
          </w:p>
        </w:tc>
        <w:tc>
          <w:tcPr>
            <w:tcW w:type="dxa" w:w="1170"/>
          </w:tcPr>
          <w:p>
            <w:r/>
            <w:r>
              <w:rPr>
                <w:rFonts w:ascii="Times New Roman" w:hAnsi="Times New Roman"/>
                <w:sz w:val="20"/>
              </w:rPr>
              <w:t>Thrombolysis</w:t>
            </w:r>
          </w:p>
        </w:tc>
        <w:tc>
          <w:tcPr>
            <w:tcW w:type="dxa" w:w="1170"/>
          </w:tcPr>
          <w:p>
            <w:r/>
            <w:r>
              <w:rPr>
                <w:rFonts w:ascii="Times New Roman" w:hAnsi="Times New Roman"/>
                <w:sz w:val="20"/>
              </w:rPr>
              <w:t>90</w:t>
            </w:r>
          </w:p>
        </w:tc>
        <w:tc>
          <w:tcPr>
            <w:tcW w:type="dxa" w:w="1170"/>
          </w:tcPr>
          <w:p>
            <w:r/>
            <w:r>
              <w:rPr>
                <w:rFonts w:ascii="Times New Roman" w:hAnsi="Times New Roman"/>
                <w:sz w:val="20"/>
              </w:rPr>
              <w:t>1,159</w:t>
            </w:r>
          </w:p>
        </w:tc>
        <w:tc>
          <w:tcPr>
            <w:tcW w:type="dxa" w:w="1170"/>
          </w:tcPr>
          <w:p>
            <w:r/>
            <w:r>
              <w:rPr>
                <w:rFonts w:ascii="Times New Roman" w:hAnsi="Times New Roman"/>
                <w:sz w:val="20"/>
              </w:rPr>
              <w:t>118</w:t>
            </w:r>
          </w:p>
        </w:tc>
        <w:tc>
          <w:tcPr>
            <w:tcW w:type="dxa" w:w="1170"/>
          </w:tcPr>
          <w:p>
            <w:r/>
            <w:r>
              <w:rPr>
                <w:rFonts w:ascii="Times New Roman" w:hAnsi="Times New Roman"/>
                <w:sz w:val="20"/>
              </w:rPr>
              <w:t>1,157</w:t>
            </w:r>
          </w:p>
        </w:tc>
        <w:tc>
          <w:tcPr>
            <w:tcW w:type="dxa" w:w="1170"/>
          </w:tcPr>
          <w:p>
            <w:r/>
            <w:r>
              <w:rPr>
                <w:rFonts w:ascii="Times New Roman" w:hAnsi="Times New Roman"/>
                <w:sz w:val="20"/>
              </w:rPr>
              <w:t>10.2%</w:t>
            </w:r>
          </w:p>
        </w:tc>
      </w:tr>
      <w:tr>
        <w:tc>
          <w:tcPr>
            <w:tcW w:type="dxa" w:w="1170"/>
          </w:tcPr>
          <w:p>
            <w:r/>
            <w:r>
              <w:rPr>
                <w:rFonts w:ascii="Times New Roman" w:hAnsi="Times New Roman"/>
                <w:sz w:val="20"/>
              </w:rPr>
              <w:t>Shechter 1995</w:t>
            </w:r>
          </w:p>
        </w:tc>
        <w:tc>
          <w:tcPr>
            <w:tcW w:type="dxa" w:w="1170"/>
          </w:tcPr>
          <w:p>
            <w:r/>
            <w:r>
              <w:rPr>
                <w:rFonts w:ascii="Times New Roman" w:hAnsi="Times New Roman"/>
                <w:sz w:val="20"/>
              </w:rPr>
              <w:t>1995</w:t>
            </w:r>
          </w:p>
        </w:tc>
        <w:tc>
          <w:tcPr>
            <w:tcW w:type="dxa" w:w="1170"/>
          </w:tcPr>
          <w:p>
            <w:r/>
            <w:r>
              <w:rPr>
                <w:rFonts w:ascii="Times New Roman" w:hAnsi="Times New Roman"/>
                <w:sz w:val="20"/>
              </w:rPr>
              <w:t>Thrombolysis</w:t>
            </w:r>
          </w:p>
        </w:tc>
        <w:tc>
          <w:tcPr>
            <w:tcW w:type="dxa" w:w="1170"/>
          </w:tcPr>
          <w:p>
            <w:r/>
            <w:r>
              <w:rPr>
                <w:rFonts w:ascii="Times New Roman" w:hAnsi="Times New Roman"/>
                <w:sz w:val="20"/>
              </w:rPr>
              <w:t>4</w:t>
            </w:r>
          </w:p>
        </w:tc>
        <w:tc>
          <w:tcPr>
            <w:tcW w:type="dxa" w:w="1170"/>
          </w:tcPr>
          <w:p>
            <w:r/>
            <w:r>
              <w:rPr>
                <w:rFonts w:ascii="Times New Roman" w:hAnsi="Times New Roman"/>
                <w:sz w:val="20"/>
              </w:rPr>
              <w:t>107</w:t>
            </w:r>
          </w:p>
        </w:tc>
        <w:tc>
          <w:tcPr>
            <w:tcW w:type="dxa" w:w="1170"/>
          </w:tcPr>
          <w:p>
            <w:r/>
            <w:r>
              <w:rPr>
                <w:rFonts w:ascii="Times New Roman" w:hAnsi="Times New Roman"/>
                <w:sz w:val="20"/>
              </w:rPr>
              <w:t>17</w:t>
            </w:r>
          </w:p>
        </w:tc>
        <w:tc>
          <w:tcPr>
            <w:tcW w:type="dxa" w:w="1170"/>
          </w:tcPr>
          <w:p>
            <w:r/>
            <w:r>
              <w:rPr>
                <w:rFonts w:ascii="Times New Roman" w:hAnsi="Times New Roman"/>
                <w:sz w:val="20"/>
              </w:rPr>
              <w:t>108</w:t>
            </w:r>
          </w:p>
        </w:tc>
        <w:tc>
          <w:tcPr>
            <w:tcW w:type="dxa" w:w="1170"/>
          </w:tcPr>
          <w:p>
            <w:r/>
            <w:r>
              <w:rPr>
                <w:rFonts w:ascii="Times New Roman" w:hAnsi="Times New Roman"/>
                <w:sz w:val="20"/>
              </w:rPr>
              <w:t>15.7%</w:t>
            </w:r>
          </w:p>
        </w:tc>
      </w:tr>
      <w:tr>
        <w:tc>
          <w:tcPr>
            <w:tcW w:type="dxa" w:w="1170"/>
          </w:tcPr>
          <w:p>
            <w:r/>
            <w:r>
              <w:rPr>
                <w:rFonts w:ascii="Times New Roman" w:hAnsi="Times New Roman"/>
                <w:sz w:val="20"/>
              </w:rPr>
              <w:t>ISIS-4 1995</w:t>
            </w:r>
          </w:p>
        </w:tc>
        <w:tc>
          <w:tcPr>
            <w:tcW w:type="dxa" w:w="1170"/>
          </w:tcPr>
          <w:p>
            <w:r/>
            <w:r>
              <w:rPr>
                <w:rFonts w:ascii="Times New Roman" w:hAnsi="Times New Roman"/>
                <w:sz w:val="20"/>
              </w:rPr>
              <w:t>1995</w:t>
            </w:r>
          </w:p>
        </w:tc>
        <w:tc>
          <w:tcPr>
            <w:tcW w:type="dxa" w:w="1170"/>
          </w:tcPr>
          <w:p>
            <w:r/>
            <w:r>
              <w:rPr>
                <w:rFonts w:ascii="Times New Roman" w:hAnsi="Times New Roman"/>
                <w:sz w:val="20"/>
              </w:rPr>
              <w:t>Thrombolysis</w:t>
            </w:r>
          </w:p>
        </w:tc>
        <w:tc>
          <w:tcPr>
            <w:tcW w:type="dxa" w:w="1170"/>
          </w:tcPr>
          <w:p>
            <w:r/>
            <w:r>
              <w:rPr>
                <w:rFonts w:ascii="Times New Roman" w:hAnsi="Times New Roman"/>
                <w:sz w:val="20"/>
              </w:rPr>
              <w:t>2216</w:t>
            </w:r>
          </w:p>
        </w:tc>
        <w:tc>
          <w:tcPr>
            <w:tcW w:type="dxa" w:w="1170"/>
          </w:tcPr>
          <w:p>
            <w:r/>
            <w:r>
              <w:rPr>
                <w:rFonts w:ascii="Times New Roman" w:hAnsi="Times New Roman"/>
                <w:sz w:val="20"/>
              </w:rPr>
              <w:t>29,011</w:t>
            </w:r>
          </w:p>
        </w:tc>
        <w:tc>
          <w:tcPr>
            <w:tcW w:type="dxa" w:w="1170"/>
          </w:tcPr>
          <w:p>
            <w:r/>
            <w:r>
              <w:rPr>
                <w:rFonts w:ascii="Times New Roman" w:hAnsi="Times New Roman"/>
                <w:sz w:val="20"/>
              </w:rPr>
              <w:t>2103</w:t>
            </w:r>
          </w:p>
        </w:tc>
        <w:tc>
          <w:tcPr>
            <w:tcW w:type="dxa" w:w="1170"/>
          </w:tcPr>
          <w:p>
            <w:r/>
            <w:r>
              <w:rPr>
                <w:rFonts w:ascii="Times New Roman" w:hAnsi="Times New Roman"/>
                <w:sz w:val="20"/>
              </w:rPr>
              <w:t>29,039</w:t>
            </w:r>
          </w:p>
        </w:tc>
        <w:tc>
          <w:tcPr>
            <w:tcW w:type="dxa" w:w="1170"/>
          </w:tcPr>
          <w:p>
            <w:r/>
            <w:r>
              <w:rPr>
                <w:rFonts w:ascii="Times New Roman" w:hAnsi="Times New Roman"/>
                <w:sz w:val="20"/>
              </w:rPr>
              <w:t>7.2%</w:t>
            </w:r>
          </w:p>
        </w:tc>
      </w:tr>
    </w:tbl>
    <w:p>
      <w:r>
        <w:rPr>
          <w:rFonts w:ascii="Times New Roman" w:hAnsi="Times New Roman"/>
          <w:b/>
          <w:i w:val="0"/>
          <w:sz w:val="24"/>
        </w:rPr>
        <w:t>Table 4: Study-level data for statins in heart failure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b/>
                <w:sz w:val="20"/>
              </w:rPr>
              <w:t>Study</w:t>
            </w:r>
          </w:p>
        </w:tc>
        <w:tc>
          <w:tcPr>
            <w:tcW w:type="dxa" w:w="1872"/>
          </w:tcPr>
          <w:p>
            <w:r/>
            <w:r>
              <w:rPr>
                <w:rFonts w:ascii="Times New Roman" w:hAnsi="Times New Roman"/>
                <w:b/>
                <w:sz w:val="20"/>
              </w:rPr>
              <w:t>Design</w:t>
            </w:r>
          </w:p>
        </w:tc>
        <w:tc>
          <w:tcPr>
            <w:tcW w:type="dxa" w:w="1872"/>
          </w:tcPr>
          <w:p>
            <w:r/>
            <w:r>
              <w:rPr>
                <w:rFonts w:ascii="Times New Roman" w:hAnsi="Times New Roman"/>
                <w:b/>
                <w:sz w:val="20"/>
              </w:rPr>
              <w:t>HR (95% CI)</w:t>
            </w:r>
          </w:p>
        </w:tc>
        <w:tc>
          <w:tcPr>
            <w:tcW w:type="dxa" w:w="1872"/>
          </w:tcPr>
          <w:p>
            <w:r/>
            <w:r>
              <w:rPr>
                <w:rFonts w:ascii="Times New Roman" w:hAnsi="Times New Roman"/>
                <w:b/>
                <w:sz w:val="20"/>
              </w:rPr>
              <w:t>N</w:t>
            </w:r>
          </w:p>
        </w:tc>
        <w:tc>
          <w:tcPr>
            <w:tcW w:type="dxa" w:w="1872"/>
          </w:tcPr>
          <w:p>
            <w:r/>
            <w:r>
              <w:rPr>
                <w:rFonts w:ascii="Times New Roman" w:hAnsi="Times New Roman"/>
                <w:b/>
                <w:sz w:val="20"/>
              </w:rPr>
              <w:t>Events</w:t>
            </w:r>
          </w:p>
        </w:tc>
      </w:tr>
      <w:tr>
        <w:tc>
          <w:tcPr>
            <w:tcW w:type="dxa" w:w="1872"/>
          </w:tcPr>
          <w:p>
            <w:r/>
            <w:r>
              <w:rPr>
                <w:rFonts w:ascii="Times New Roman" w:hAnsi="Times New Roman"/>
                <w:sz w:val="20"/>
              </w:rPr>
              <w:t>Mozaffarian 2004</w:t>
            </w:r>
          </w:p>
        </w:tc>
        <w:tc>
          <w:tcPr>
            <w:tcW w:type="dxa" w:w="1872"/>
          </w:tcPr>
          <w:p>
            <w:r/>
            <w:r>
              <w:rPr>
                <w:rFonts w:ascii="Times New Roman" w:hAnsi="Times New Roman"/>
                <w:sz w:val="20"/>
              </w:rPr>
              <w:t>OBS</w:t>
            </w:r>
          </w:p>
        </w:tc>
        <w:tc>
          <w:tcPr>
            <w:tcW w:type="dxa" w:w="1872"/>
          </w:tcPr>
          <w:p>
            <w:r/>
            <w:r>
              <w:rPr>
                <w:rFonts w:ascii="Times New Roman" w:hAnsi="Times New Roman"/>
                <w:sz w:val="20"/>
              </w:rPr>
              <w:t>0.62 (0.49–0.78)</w:t>
            </w:r>
          </w:p>
        </w:tc>
        <w:tc>
          <w:tcPr>
            <w:tcW w:type="dxa" w:w="1872"/>
          </w:tcPr>
          <w:p>
            <w:r/>
            <w:r>
              <w:rPr>
                <w:rFonts w:ascii="Times New Roman" w:hAnsi="Times New Roman"/>
                <w:sz w:val="20"/>
              </w:rPr>
              <w:t>1,153</w:t>
            </w:r>
          </w:p>
        </w:tc>
        <w:tc>
          <w:tcPr>
            <w:tcW w:type="dxa" w:w="1872"/>
          </w:tcPr>
          <w:p>
            <w:r/>
            <w:r>
              <w:rPr>
                <w:rFonts w:ascii="Times New Roman" w:hAnsi="Times New Roman"/>
                <w:sz w:val="20"/>
              </w:rPr>
              <w:t>356</w:t>
            </w:r>
          </w:p>
        </w:tc>
      </w:tr>
      <w:tr>
        <w:tc>
          <w:tcPr>
            <w:tcW w:type="dxa" w:w="1872"/>
          </w:tcPr>
          <w:p>
            <w:r/>
            <w:r>
              <w:rPr>
                <w:rFonts w:ascii="Times New Roman" w:hAnsi="Times New Roman"/>
                <w:sz w:val="20"/>
              </w:rPr>
              <w:t>Horwich 2004</w:t>
            </w:r>
          </w:p>
        </w:tc>
        <w:tc>
          <w:tcPr>
            <w:tcW w:type="dxa" w:w="1872"/>
          </w:tcPr>
          <w:p>
            <w:r/>
            <w:r>
              <w:rPr>
                <w:rFonts w:ascii="Times New Roman" w:hAnsi="Times New Roman"/>
                <w:sz w:val="20"/>
              </w:rPr>
              <w:t>OBS</w:t>
            </w:r>
          </w:p>
        </w:tc>
        <w:tc>
          <w:tcPr>
            <w:tcW w:type="dxa" w:w="1872"/>
          </w:tcPr>
          <w:p>
            <w:r/>
            <w:r>
              <w:rPr>
                <w:rFonts w:ascii="Times New Roman" w:hAnsi="Times New Roman"/>
                <w:sz w:val="20"/>
              </w:rPr>
              <w:t>0.59 (0.44–0.78)</w:t>
            </w:r>
          </w:p>
        </w:tc>
        <w:tc>
          <w:tcPr>
            <w:tcW w:type="dxa" w:w="1872"/>
          </w:tcPr>
          <w:p>
            <w:r/>
            <w:r>
              <w:rPr>
                <w:rFonts w:ascii="Times New Roman" w:hAnsi="Times New Roman"/>
                <w:sz w:val="20"/>
              </w:rPr>
              <w:t>551</w:t>
            </w:r>
          </w:p>
        </w:tc>
        <w:tc>
          <w:tcPr>
            <w:tcW w:type="dxa" w:w="1872"/>
          </w:tcPr>
          <w:p>
            <w:r/>
            <w:r>
              <w:rPr>
                <w:rFonts w:ascii="Times New Roman" w:hAnsi="Times New Roman"/>
                <w:sz w:val="20"/>
              </w:rPr>
              <w:t>189</w:t>
            </w:r>
          </w:p>
        </w:tc>
      </w:tr>
      <w:tr>
        <w:tc>
          <w:tcPr>
            <w:tcW w:type="dxa" w:w="1872"/>
          </w:tcPr>
          <w:p>
            <w:r/>
            <w:r>
              <w:rPr>
                <w:rFonts w:ascii="Times New Roman" w:hAnsi="Times New Roman"/>
                <w:sz w:val="20"/>
              </w:rPr>
              <w:t>Go 2006</w:t>
            </w:r>
          </w:p>
        </w:tc>
        <w:tc>
          <w:tcPr>
            <w:tcW w:type="dxa" w:w="1872"/>
          </w:tcPr>
          <w:p>
            <w:r/>
            <w:r>
              <w:rPr>
                <w:rFonts w:ascii="Times New Roman" w:hAnsi="Times New Roman"/>
                <w:sz w:val="20"/>
              </w:rPr>
              <w:t>OBS</w:t>
            </w:r>
          </w:p>
        </w:tc>
        <w:tc>
          <w:tcPr>
            <w:tcW w:type="dxa" w:w="1872"/>
          </w:tcPr>
          <w:p>
            <w:r/>
            <w:r>
              <w:rPr>
                <w:rFonts w:ascii="Times New Roman" w:hAnsi="Times New Roman"/>
                <w:sz w:val="20"/>
              </w:rPr>
              <w:t>0.69 (0.63–0.75)</w:t>
            </w:r>
          </w:p>
        </w:tc>
        <w:tc>
          <w:tcPr>
            <w:tcW w:type="dxa" w:w="1872"/>
          </w:tcPr>
          <w:p>
            <w:r/>
            <w:r>
              <w:rPr>
                <w:rFonts w:ascii="Times New Roman" w:hAnsi="Times New Roman"/>
                <w:sz w:val="20"/>
              </w:rPr>
              <w:t>24,598</w:t>
            </w:r>
          </w:p>
        </w:tc>
        <w:tc>
          <w:tcPr>
            <w:tcW w:type="dxa" w:w="1872"/>
          </w:tcPr>
          <w:p>
            <w:r/>
            <w:r>
              <w:rPr>
                <w:rFonts w:ascii="Times New Roman" w:hAnsi="Times New Roman"/>
                <w:sz w:val="20"/>
              </w:rPr>
              <w:t>5,765</w:t>
            </w:r>
          </w:p>
        </w:tc>
      </w:tr>
      <w:tr>
        <w:tc>
          <w:tcPr>
            <w:tcW w:type="dxa" w:w="1872"/>
          </w:tcPr>
          <w:p>
            <w:r/>
            <w:r>
              <w:rPr>
                <w:rFonts w:ascii="Times New Roman" w:hAnsi="Times New Roman"/>
                <w:sz w:val="20"/>
              </w:rPr>
              <w:t>Foody 2006</w:t>
            </w:r>
          </w:p>
        </w:tc>
        <w:tc>
          <w:tcPr>
            <w:tcW w:type="dxa" w:w="1872"/>
          </w:tcPr>
          <w:p>
            <w:r/>
            <w:r>
              <w:rPr>
                <w:rFonts w:ascii="Times New Roman" w:hAnsi="Times New Roman"/>
                <w:sz w:val="20"/>
              </w:rPr>
              <w:t>OBS</w:t>
            </w:r>
          </w:p>
        </w:tc>
        <w:tc>
          <w:tcPr>
            <w:tcW w:type="dxa" w:w="1872"/>
          </w:tcPr>
          <w:p>
            <w:r/>
            <w:r>
              <w:rPr>
                <w:rFonts w:ascii="Times New Roman" w:hAnsi="Times New Roman"/>
                <w:sz w:val="20"/>
              </w:rPr>
              <w:t>0.82 (0.79–0.85)</w:t>
            </w:r>
          </w:p>
        </w:tc>
        <w:tc>
          <w:tcPr>
            <w:tcW w:type="dxa" w:w="1872"/>
          </w:tcPr>
          <w:p>
            <w:r/>
            <w:r>
              <w:rPr>
                <w:rFonts w:ascii="Times New Roman" w:hAnsi="Times New Roman"/>
                <w:sz w:val="20"/>
              </w:rPr>
              <w:t>54,960</w:t>
            </w:r>
          </w:p>
        </w:tc>
        <w:tc>
          <w:tcPr>
            <w:tcW w:type="dxa" w:w="1872"/>
          </w:tcPr>
          <w:p>
            <w:r/>
            <w:r>
              <w:rPr>
                <w:rFonts w:ascii="Times New Roman" w:hAnsi="Times New Roman"/>
                <w:sz w:val="20"/>
              </w:rPr>
              <w:t>16,573</w:t>
            </w:r>
          </w:p>
        </w:tc>
      </w:tr>
      <w:tr>
        <w:tc>
          <w:tcPr>
            <w:tcW w:type="dxa" w:w="1872"/>
          </w:tcPr>
          <w:p>
            <w:r/>
            <w:r>
              <w:rPr>
                <w:rFonts w:ascii="Times New Roman" w:hAnsi="Times New Roman"/>
                <w:sz w:val="20"/>
              </w:rPr>
              <w:t>Anker 2006</w:t>
            </w:r>
          </w:p>
        </w:tc>
        <w:tc>
          <w:tcPr>
            <w:tcW w:type="dxa" w:w="1872"/>
          </w:tcPr>
          <w:p>
            <w:r/>
            <w:r>
              <w:rPr>
                <w:rFonts w:ascii="Times New Roman" w:hAnsi="Times New Roman"/>
                <w:sz w:val="20"/>
              </w:rPr>
              <w:t>OBS</w:t>
            </w:r>
          </w:p>
        </w:tc>
        <w:tc>
          <w:tcPr>
            <w:tcW w:type="dxa" w:w="1872"/>
          </w:tcPr>
          <w:p>
            <w:r/>
            <w:r>
              <w:rPr>
                <w:rFonts w:ascii="Times New Roman" w:hAnsi="Times New Roman"/>
                <w:sz w:val="20"/>
              </w:rPr>
              <w:t>0.75 (0.66–0.85)</w:t>
            </w:r>
          </w:p>
        </w:tc>
        <w:tc>
          <w:tcPr>
            <w:tcW w:type="dxa" w:w="1872"/>
          </w:tcPr>
          <w:p>
            <w:r/>
            <w:r>
              <w:rPr>
                <w:rFonts w:ascii="Times New Roman" w:hAnsi="Times New Roman"/>
                <w:sz w:val="20"/>
              </w:rPr>
              <w:t>10,510</w:t>
            </w:r>
          </w:p>
        </w:tc>
        <w:tc>
          <w:tcPr>
            <w:tcW w:type="dxa" w:w="1872"/>
          </w:tcPr>
          <w:p>
            <w:r/>
            <w:r>
              <w:rPr>
                <w:rFonts w:ascii="Times New Roman" w:hAnsi="Times New Roman"/>
                <w:sz w:val="20"/>
              </w:rPr>
              <w:t>2,890</w:t>
            </w:r>
          </w:p>
        </w:tc>
      </w:tr>
      <w:tr>
        <w:tc>
          <w:tcPr>
            <w:tcW w:type="dxa" w:w="1872"/>
          </w:tcPr>
          <w:p>
            <w:r/>
            <w:r>
              <w:rPr>
                <w:rFonts w:ascii="Times New Roman" w:hAnsi="Times New Roman"/>
                <w:sz w:val="20"/>
              </w:rPr>
              <w:t>CORONA 2007</w:t>
            </w:r>
          </w:p>
        </w:tc>
        <w:tc>
          <w:tcPr>
            <w:tcW w:type="dxa" w:w="1872"/>
          </w:tcPr>
          <w:p>
            <w:r/>
            <w:r>
              <w:rPr>
                <w:rFonts w:ascii="Times New Roman" w:hAnsi="Times New Roman"/>
                <w:sz w:val="20"/>
              </w:rPr>
              <w:t>RCT</w:t>
            </w:r>
          </w:p>
        </w:tc>
        <w:tc>
          <w:tcPr>
            <w:tcW w:type="dxa" w:w="1872"/>
          </w:tcPr>
          <w:p>
            <w:r/>
            <w:r>
              <w:rPr>
                <w:rFonts w:ascii="Times New Roman" w:hAnsi="Times New Roman"/>
                <w:sz w:val="20"/>
              </w:rPr>
              <w:t>0.95 (0.86–1.05)</w:t>
            </w:r>
          </w:p>
        </w:tc>
        <w:tc>
          <w:tcPr>
            <w:tcW w:type="dxa" w:w="1872"/>
          </w:tcPr>
          <w:p>
            <w:r/>
            <w:r>
              <w:rPr>
                <w:rFonts w:ascii="Times New Roman" w:hAnsi="Times New Roman"/>
                <w:sz w:val="20"/>
              </w:rPr>
              <w:t>5,011</w:t>
            </w:r>
          </w:p>
        </w:tc>
        <w:tc>
          <w:tcPr>
            <w:tcW w:type="dxa" w:w="1872"/>
          </w:tcPr>
          <w:p>
            <w:r/>
            <w:r>
              <w:rPr>
                <w:rFonts w:ascii="Times New Roman" w:hAnsi="Times New Roman"/>
                <w:sz w:val="20"/>
              </w:rPr>
              <w:t>728</w:t>
            </w:r>
          </w:p>
        </w:tc>
      </w:tr>
      <w:tr>
        <w:tc>
          <w:tcPr>
            <w:tcW w:type="dxa" w:w="1872"/>
          </w:tcPr>
          <w:p>
            <w:r/>
            <w:r>
              <w:rPr>
                <w:rFonts w:ascii="Times New Roman" w:hAnsi="Times New Roman"/>
                <w:sz w:val="20"/>
              </w:rPr>
              <w:t>GISSI-HF 2008</w:t>
            </w:r>
          </w:p>
        </w:tc>
        <w:tc>
          <w:tcPr>
            <w:tcW w:type="dxa" w:w="1872"/>
          </w:tcPr>
          <w:p>
            <w:r/>
            <w:r>
              <w:rPr>
                <w:rFonts w:ascii="Times New Roman" w:hAnsi="Times New Roman"/>
                <w:sz w:val="20"/>
              </w:rPr>
              <w:t>RCT</w:t>
            </w:r>
          </w:p>
        </w:tc>
        <w:tc>
          <w:tcPr>
            <w:tcW w:type="dxa" w:w="1872"/>
          </w:tcPr>
          <w:p>
            <w:r/>
            <w:r>
              <w:rPr>
                <w:rFonts w:ascii="Times New Roman" w:hAnsi="Times New Roman"/>
                <w:sz w:val="20"/>
              </w:rPr>
              <w:t>1.00 (0.90–1.12)</w:t>
            </w:r>
          </w:p>
        </w:tc>
        <w:tc>
          <w:tcPr>
            <w:tcW w:type="dxa" w:w="1872"/>
          </w:tcPr>
          <w:p>
            <w:r/>
            <w:r>
              <w:rPr>
                <w:rFonts w:ascii="Times New Roman" w:hAnsi="Times New Roman"/>
                <w:sz w:val="20"/>
              </w:rPr>
              <w:t>4,574</w:t>
            </w:r>
          </w:p>
        </w:tc>
        <w:tc>
          <w:tcPr>
            <w:tcW w:type="dxa" w:w="1872"/>
          </w:tcPr>
          <w:p>
            <w:r/>
            <w:r>
              <w:rPr>
                <w:rFonts w:ascii="Times New Roman" w:hAnsi="Times New Roman"/>
                <w:sz w:val="20"/>
              </w:rPr>
              <w:t>657</w:t>
            </w:r>
          </w:p>
        </w:tc>
      </w:tr>
    </w:tbl>
    <w:p>
      <w:pPr>
        <w:pStyle w:val="Heading3"/>
      </w:pPr>
      <w:r>
        <w:rPr>
          <w:color w:val="000000"/>
        </w:rPr>
        <w:t>Module K results</w:t>
      </w:r>
    </w:p>
    <w:p>
      <w:pPr>
        <w:pStyle w:val="Heading4"/>
      </w:pPr>
      <w:r>
        <w:rPr>
          <w:color w:val="000000"/>
        </w:rPr>
        <w:t>Magnesium in AMI</w:t>
      </w:r>
    </w:p>
    <w:p>
      <w:r>
        <w:rPr>
          <w:rFonts w:ascii="Times New Roman" w:hAnsi="Times New Roman"/>
          <w:b w:val="0"/>
          <w:i w:val="0"/>
          <w:sz w:val="24"/>
        </w:rPr>
        <w:t>Control-group event rates were computed for each era:</w:t>
      </w:r>
    </w:p>
    <w:p>
      <w:pPr>
        <w:pStyle w:val="ListBullet"/>
      </w:pPr>
      <w:r>
        <w:rPr>
          <w:rFonts w:ascii="Times New Roman" w:hAnsi="Times New Roman"/>
          <w:b w:val="0"/>
          <w:i w:val="0"/>
          <w:sz w:val="24"/>
        </w:rPr>
        <w:t>Pre-thrombolysis era (1984–1990): weighted mean = 8.9%</w:t>
      </w:r>
    </w:p>
    <w:p>
      <w:pPr>
        <w:pStyle w:val="ListBullet"/>
      </w:pPr>
      <w:r>
        <w:rPr>
          <w:rFonts w:ascii="Times New Roman" w:hAnsi="Times New Roman"/>
          <w:b w:val="0"/>
          <w:i w:val="0"/>
          <w:sz w:val="24"/>
        </w:rPr>
        <w:t>ISIS-4 (1995): 7.2%</w:t>
      </w:r>
    </w:p>
    <w:p>
      <w:pPr>
        <w:pStyle w:val="ListBullet"/>
      </w:pPr>
      <w:r>
        <w:rPr>
          <w:rFonts w:ascii="Times New Roman" w:hAnsi="Times New Roman"/>
          <w:b w:val="0"/>
          <w:i w:val="0"/>
          <w:sz w:val="24"/>
        </w:rPr>
        <w:t>LIMIT-2 (1992): 10.2%</w:t>
      </w:r>
    </w:p>
    <w:p>
      <w:r>
        <w:rPr>
          <w:rFonts w:ascii="Times New Roman" w:hAnsi="Times New Roman"/>
          <w:b w:val="0"/>
          <w:i w:val="0"/>
          <w:sz w:val="24"/>
        </w:rPr>
        <w:t>The event rate ratio (ISIS-4 / pre-thrombolysis) was 0.82, indicating a 18% reduction in control event rates in the thrombolysis era (Fig. 2).</w:t>
      </w:r>
    </w:p>
    <w:p>
      <w:r>
        <w:rPr>
          <w:rFonts w:ascii="Times New Roman" w:hAnsi="Times New Roman"/>
          <w:b w:val="0"/>
          <w:i w:val="0"/>
          <w:sz w:val="24"/>
        </w:rPr>
        <w:t>Random-effects meta-analysis yielded:</w:t>
      </w:r>
    </w:p>
    <w:p>
      <w:pPr>
        <w:pStyle w:val="ListBullet"/>
      </w:pPr>
      <w:r>
        <w:rPr>
          <w:rFonts w:ascii="Times New Roman" w:hAnsi="Times New Roman"/>
          <w:b/>
          <w:i w:val="0"/>
          <w:sz w:val="24"/>
        </w:rPr>
        <w:t>Pre-ISIS-4 trials</w:t>
      </w:r>
      <w:r>
        <w:rPr>
          <w:rFonts w:ascii="Times New Roman" w:hAnsi="Times New Roman"/>
          <w:b w:val="0"/>
          <w:i w:val="0"/>
          <w:sz w:val="24"/>
        </w:rPr>
        <w:t xml:space="preserve"> (11 trials): OR = 0.54 (95% CI: 0.40–0.75), I^2 = 6%</w:t>
      </w:r>
    </w:p>
    <w:p>
      <w:pPr>
        <w:pStyle w:val="ListBullet"/>
      </w:pPr>
      <w:r>
        <w:rPr>
          <w:rFonts w:ascii="Times New Roman" w:hAnsi="Times New Roman"/>
          <w:b/>
          <w:i w:val="0"/>
          <w:sz w:val="24"/>
        </w:rPr>
        <w:t>All trials</w:t>
      </w:r>
      <w:r>
        <w:rPr>
          <w:rFonts w:ascii="Times New Roman" w:hAnsi="Times New Roman"/>
          <w:b w:val="0"/>
          <w:i w:val="0"/>
          <w:sz w:val="24"/>
        </w:rPr>
        <w:t xml:space="preserve"> (12 trials): OR = 0.56 (95% CI: 0.38–0.83), I^2 = 62%</w:t>
      </w:r>
    </w:p>
    <w:p>
      <w:r>
        <w:rPr>
          <w:rFonts w:ascii="Times New Roman" w:hAnsi="Times New Roman"/>
          <w:b w:val="0"/>
          <w:i w:val="0"/>
          <w:sz w:val="24"/>
        </w:rPr>
        <w:t>Power analysis at the ISIS-4 sample size (N = 58,050) showed that for the pre-ISIS-4 pooled effect (OR = 0.54), power exceeded 99% under all scenarios—the ISIS-4 trial was sufficiently large to detect an effect of this magnitude regardless of event rate. However, for more modest effects (OR = 0.85–0.95), the event rate reduction produced meaningful power differences between scenarios (Fig. 3A). At OR = 0.90, power was 95.8% under the pre-thrombolysis rate (S1) but 91.5% under the ISIS-4 rate (S2).</w:t>
      </w:r>
    </w:p>
    <w:p>
      <w:pPr>
        <w:pStyle w:val="Heading4"/>
      </w:pPr>
      <w:r>
        <w:rPr>
          <w:color w:val="000000"/>
        </w:rPr>
        <w:t>Statins in heart failure</w:t>
      </w:r>
    </w:p>
    <w:p>
      <w:r>
        <w:rPr>
          <w:rFonts w:ascii="Times New Roman" w:hAnsi="Times New Roman"/>
          <w:b w:val="0"/>
          <w:i w:val="0"/>
          <w:sz w:val="24"/>
        </w:rPr>
        <w:t>Random-effects meta-analysis yielded:</w:t>
      </w:r>
    </w:p>
    <w:p>
      <w:pPr>
        <w:pStyle w:val="ListBullet"/>
      </w:pPr>
      <w:r>
        <w:rPr>
          <w:rFonts w:ascii="Times New Roman" w:hAnsi="Times New Roman"/>
          <w:b/>
          <w:i w:val="0"/>
          <w:sz w:val="24"/>
        </w:rPr>
        <w:t>Observational studies</w:t>
      </w:r>
      <w:r>
        <w:rPr>
          <w:rFonts w:ascii="Times New Roman" w:hAnsi="Times New Roman"/>
          <w:b w:val="0"/>
          <w:i w:val="0"/>
          <w:sz w:val="24"/>
        </w:rPr>
        <w:t>: HR = 0.72 (95% CI: 0.64–0.80), I^2 = 82%</w:t>
      </w:r>
    </w:p>
    <w:p>
      <w:pPr>
        <w:pStyle w:val="ListBullet"/>
      </w:pPr>
      <w:r>
        <w:rPr>
          <w:rFonts w:ascii="Times New Roman" w:hAnsi="Times New Roman"/>
          <w:b/>
          <w:i w:val="0"/>
          <w:sz w:val="24"/>
        </w:rPr>
        <w:t>RCTs</w:t>
      </w:r>
      <w:r>
        <w:rPr>
          <w:rFonts w:ascii="Times New Roman" w:hAnsi="Times New Roman"/>
          <w:b w:val="0"/>
          <w:i w:val="0"/>
          <w:sz w:val="24"/>
        </w:rPr>
        <w:t>: HR = 0.97 (95% CI: 0.90–1.05), I^2 = 0%</w:t>
      </w:r>
    </w:p>
    <w:p>
      <w:r>
        <w:rPr>
          <w:rFonts w:ascii="Times New Roman" w:hAnsi="Times New Roman"/>
          <w:b w:val="0"/>
          <w:i w:val="0"/>
          <w:sz w:val="24"/>
        </w:rPr>
        <w:t>The event rate ratio (RCT / observational) was estimated at 0.53, indicating that RCT populations had approximately half the event rate of observational cohorts.</w:t>
      </w:r>
    </w:p>
    <w:p>
      <w:r>
        <w:rPr>
          <w:rFonts w:ascii="Times New Roman" w:hAnsi="Times New Roman"/>
          <w:b w:val="0"/>
          <w:i w:val="0"/>
          <w:sz w:val="24"/>
        </w:rPr>
        <w:t>Power analysis at the combined RCT sample size (N = 9,585) revealed substantial power differences (Fig. 3B). At the observational effect estimate (HR = 0.72), power was &gt;99% under the observational event rate (15%) but 99.1% under the RCT event rate (8%). At more modest effects (HR = 0.85), power was 84.6% under the observational rate but only 58.3% under the RCT rate—a 26 percentage-point reduction attributable to event dilution.</w:t>
      </w:r>
    </w:p>
    <w:p>
      <w:pPr>
        <w:pStyle w:val="Heading3"/>
      </w:pPr>
      <w:r>
        <w:rPr>
          <w:color w:val="000000"/>
        </w:rPr>
        <w:t>Module T results</w:t>
      </w:r>
    </w:p>
    <w:p>
      <w:pPr>
        <w:pStyle w:val="Heading4"/>
      </w:pPr>
      <w:r>
        <w:rPr>
          <w:color w:val="000000"/>
        </w:rPr>
        <w:t>Bayesian integration --- Magnesium in AMI</w:t>
      </w:r>
    </w:p>
    <w:p>
      <w:r>
        <w:rPr>
          <w:rFonts w:ascii="Times New Roman" w:hAnsi="Times New Roman"/>
          <w:b/>
          <w:i w:val="0"/>
          <w:sz w:val="24"/>
        </w:rPr>
        <w:t>Table 5: Bayesian integration --- Magnesium in AMI (power prior)</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b/>
                <w:sz w:val="20"/>
              </w:rPr>
              <w:t>$\alpha$</w:t>
            </w:r>
          </w:p>
        </w:tc>
        <w:tc>
          <w:tcPr>
            <w:tcW w:type="dxa" w:w="1872"/>
          </w:tcPr>
          <w:p>
            <w:r/>
            <w:r>
              <w:rPr>
                <w:rFonts w:ascii="Times New Roman" w:hAnsi="Times New Roman"/>
                <w:b/>
                <w:sz w:val="20"/>
              </w:rPr>
              <w:t>OR (95% CrI)</w:t>
            </w:r>
          </w:p>
        </w:tc>
        <w:tc>
          <w:tcPr>
            <w:tcW w:type="dxa" w:w="1872"/>
          </w:tcPr>
          <w:p>
            <w:r/>
            <w:r>
              <w:rPr>
                <w:rFonts w:ascii="Times New Roman" w:hAnsi="Times New Roman"/>
                <w:b/>
                <w:sz w:val="20"/>
              </w:rPr>
              <w:t>P(OR &lt; 1)</w:t>
            </w:r>
          </w:p>
        </w:tc>
        <w:tc>
          <w:tcPr>
            <w:tcW w:type="dxa" w:w="1872"/>
          </w:tcPr>
          <w:p>
            <w:r/>
            <w:r>
              <w:rPr>
                <w:rFonts w:ascii="Times New Roman" w:hAnsi="Times New Roman"/>
                <w:b/>
                <w:sz w:val="20"/>
              </w:rPr>
              <w:t>P(OR &lt; 0.90)</w:t>
            </w:r>
          </w:p>
        </w:tc>
        <w:tc>
          <w:tcPr>
            <w:tcW w:type="dxa" w:w="1872"/>
          </w:tcPr>
          <w:p>
            <w:r/>
            <w:r>
              <w:rPr>
                <w:rFonts w:ascii="Times New Roman" w:hAnsi="Times New Roman"/>
                <w:b/>
                <w:sz w:val="20"/>
              </w:rPr>
              <w:t>P(OR &lt; 0.80)</w:t>
            </w:r>
          </w:p>
        </w:tc>
      </w:tr>
      <w:tr>
        <w:tc>
          <w:tcPr>
            <w:tcW w:type="dxa" w:w="1872"/>
          </w:tcPr>
          <w:p>
            <w:r/>
            <w:r>
              <w:rPr>
                <w:rFonts w:ascii="Times New Roman" w:hAnsi="Times New Roman"/>
                <w:sz w:val="20"/>
              </w:rPr>
              <w:t>0.0 (ISIS-4 only)</w:t>
            </w:r>
          </w:p>
        </w:tc>
        <w:tc>
          <w:tcPr>
            <w:tcW w:type="dxa" w:w="1872"/>
          </w:tcPr>
          <w:p>
            <w:r/>
            <w:r>
              <w:rPr>
                <w:rFonts w:ascii="Times New Roman" w:hAnsi="Times New Roman"/>
                <w:sz w:val="20"/>
              </w:rPr>
              <w:t>1.11 (0.43–7.03)</w:t>
            </w:r>
          </w:p>
        </w:tc>
        <w:tc>
          <w:tcPr>
            <w:tcW w:type="dxa" w:w="1872"/>
          </w:tcPr>
          <w:p>
            <w:r/>
            <w:r>
              <w:rPr>
                <w:rFonts w:ascii="Times New Roman" w:hAnsi="Times New Roman"/>
                <w:sz w:val="20"/>
              </w:rPr>
              <w:t>30.6%</w:t>
            </w:r>
          </w:p>
        </w:tc>
        <w:tc>
          <w:tcPr>
            <w:tcW w:type="dxa" w:w="1872"/>
          </w:tcPr>
          <w:p>
            <w:r/>
            <w:r>
              <w:rPr>
                <w:rFonts w:ascii="Times New Roman" w:hAnsi="Times New Roman"/>
                <w:sz w:val="20"/>
              </w:rPr>
              <w:t>22.2%</w:t>
            </w:r>
          </w:p>
        </w:tc>
        <w:tc>
          <w:tcPr>
            <w:tcW w:type="dxa" w:w="1872"/>
          </w:tcPr>
          <w:p>
            <w:r/>
            <w:r>
              <w:rPr>
                <w:rFonts w:ascii="Times New Roman" w:hAnsi="Times New Roman"/>
                <w:sz w:val="20"/>
              </w:rPr>
              <w:t>16.2%</w:t>
            </w:r>
          </w:p>
        </w:tc>
      </w:tr>
      <w:tr>
        <w:tc>
          <w:tcPr>
            <w:tcW w:type="dxa" w:w="1872"/>
          </w:tcPr>
          <w:p>
            <w:r/>
            <w:r>
              <w:rPr>
                <w:rFonts w:ascii="Times New Roman" w:hAnsi="Times New Roman"/>
                <w:sz w:val="20"/>
              </w:rPr>
              <w:t>0.1</w:t>
            </w:r>
          </w:p>
        </w:tc>
        <w:tc>
          <w:tcPr>
            <w:tcW w:type="dxa" w:w="1872"/>
          </w:tcPr>
          <w:p>
            <w:r/>
            <w:r>
              <w:rPr>
                <w:rFonts w:ascii="Times New Roman" w:hAnsi="Times New Roman"/>
                <w:sz w:val="20"/>
              </w:rPr>
              <w:t>1.00 (0.31–3.51)</w:t>
            </w:r>
          </w:p>
        </w:tc>
        <w:tc>
          <w:tcPr>
            <w:tcW w:type="dxa" w:w="1872"/>
          </w:tcPr>
          <w:p>
            <w:r/>
            <w:r>
              <w:rPr>
                <w:rFonts w:ascii="Times New Roman" w:hAnsi="Times New Roman"/>
                <w:sz w:val="20"/>
              </w:rPr>
              <w:t>50.7%</w:t>
            </w:r>
          </w:p>
        </w:tc>
        <w:tc>
          <w:tcPr>
            <w:tcW w:type="dxa" w:w="1872"/>
          </w:tcPr>
          <w:p>
            <w:r/>
            <w:r>
              <w:rPr>
                <w:rFonts w:ascii="Times New Roman" w:hAnsi="Times New Roman"/>
                <w:sz w:val="20"/>
              </w:rPr>
              <w:t>36.6%</w:t>
            </w:r>
          </w:p>
        </w:tc>
        <w:tc>
          <w:tcPr>
            <w:tcW w:type="dxa" w:w="1872"/>
          </w:tcPr>
          <w:p>
            <w:r/>
            <w:r>
              <w:rPr>
                <w:rFonts w:ascii="Times New Roman" w:hAnsi="Times New Roman"/>
                <w:sz w:val="20"/>
              </w:rPr>
              <w:t>27.9%</w:t>
            </w:r>
          </w:p>
        </w:tc>
      </w:tr>
      <w:tr>
        <w:tc>
          <w:tcPr>
            <w:tcW w:type="dxa" w:w="1872"/>
          </w:tcPr>
          <w:p>
            <w:r/>
            <w:r>
              <w:rPr>
                <w:rFonts w:ascii="Times New Roman" w:hAnsi="Times New Roman"/>
                <w:sz w:val="20"/>
              </w:rPr>
              <w:t>0.2</w:t>
            </w:r>
          </w:p>
        </w:tc>
        <w:tc>
          <w:tcPr>
            <w:tcW w:type="dxa" w:w="1872"/>
          </w:tcPr>
          <w:p>
            <w:r/>
            <w:r>
              <w:rPr>
                <w:rFonts w:ascii="Times New Roman" w:hAnsi="Times New Roman"/>
                <w:sz w:val="20"/>
              </w:rPr>
              <w:t>0.85 (0.31–2.50)</w:t>
            </w:r>
          </w:p>
        </w:tc>
        <w:tc>
          <w:tcPr>
            <w:tcW w:type="dxa" w:w="1872"/>
          </w:tcPr>
          <w:p>
            <w:r/>
            <w:r>
              <w:rPr>
                <w:rFonts w:ascii="Times New Roman" w:hAnsi="Times New Roman"/>
                <w:sz w:val="20"/>
              </w:rPr>
              <w:t>66.5%</w:t>
            </w:r>
          </w:p>
        </w:tc>
        <w:tc>
          <w:tcPr>
            <w:tcW w:type="dxa" w:w="1872"/>
          </w:tcPr>
          <w:p>
            <w:r/>
            <w:r>
              <w:rPr>
                <w:rFonts w:ascii="Times New Roman" w:hAnsi="Times New Roman"/>
                <w:sz w:val="20"/>
              </w:rPr>
              <w:t>55.0%</w:t>
            </w:r>
          </w:p>
        </w:tc>
        <w:tc>
          <w:tcPr>
            <w:tcW w:type="dxa" w:w="1872"/>
          </w:tcPr>
          <w:p>
            <w:r/>
            <w:r>
              <w:rPr>
                <w:rFonts w:ascii="Times New Roman" w:hAnsi="Times New Roman"/>
                <w:sz w:val="20"/>
              </w:rPr>
              <w:t>45.8%</w:t>
            </w:r>
          </w:p>
        </w:tc>
      </w:tr>
      <w:tr>
        <w:tc>
          <w:tcPr>
            <w:tcW w:type="dxa" w:w="1872"/>
          </w:tcPr>
          <w:p>
            <w:r/>
            <w:r>
              <w:rPr>
                <w:rFonts w:ascii="Times New Roman" w:hAnsi="Times New Roman"/>
                <w:sz w:val="20"/>
              </w:rPr>
              <w:t>0.3</w:t>
            </w:r>
          </w:p>
        </w:tc>
        <w:tc>
          <w:tcPr>
            <w:tcW w:type="dxa" w:w="1872"/>
          </w:tcPr>
          <w:p>
            <w:r/>
            <w:r>
              <w:rPr>
                <w:rFonts w:ascii="Times New Roman" w:hAnsi="Times New Roman"/>
                <w:sz w:val="20"/>
              </w:rPr>
              <w:t>0.73 (0.28–2.09)</w:t>
            </w:r>
          </w:p>
        </w:tc>
        <w:tc>
          <w:tcPr>
            <w:tcW w:type="dxa" w:w="1872"/>
          </w:tcPr>
          <w:p>
            <w:r/>
            <w:r>
              <w:rPr>
                <w:rFonts w:ascii="Times New Roman" w:hAnsi="Times New Roman"/>
                <w:sz w:val="20"/>
              </w:rPr>
              <w:t>77.0%</w:t>
            </w:r>
          </w:p>
        </w:tc>
        <w:tc>
          <w:tcPr>
            <w:tcW w:type="dxa" w:w="1872"/>
          </w:tcPr>
          <w:p>
            <w:r/>
            <w:r>
              <w:rPr>
                <w:rFonts w:ascii="Times New Roman" w:hAnsi="Times New Roman"/>
                <w:sz w:val="20"/>
              </w:rPr>
              <w:t>66.3%</w:t>
            </w:r>
          </w:p>
        </w:tc>
        <w:tc>
          <w:tcPr>
            <w:tcW w:type="dxa" w:w="1872"/>
          </w:tcPr>
          <w:p>
            <w:r/>
            <w:r>
              <w:rPr>
                <w:rFonts w:ascii="Times New Roman" w:hAnsi="Times New Roman"/>
                <w:sz w:val="20"/>
              </w:rPr>
              <w:t>56.9%</w:t>
            </w:r>
          </w:p>
        </w:tc>
      </w:tr>
      <w:tr>
        <w:tc>
          <w:tcPr>
            <w:tcW w:type="dxa" w:w="1872"/>
          </w:tcPr>
          <w:p>
            <w:r/>
            <w:r>
              <w:rPr>
                <w:rFonts w:ascii="Times New Roman" w:hAnsi="Times New Roman"/>
                <w:sz w:val="20"/>
              </w:rPr>
              <w:t>0.5</w:t>
            </w:r>
          </w:p>
        </w:tc>
        <w:tc>
          <w:tcPr>
            <w:tcW w:type="dxa" w:w="1872"/>
          </w:tcPr>
          <w:p>
            <w:r/>
            <w:r>
              <w:rPr>
                <w:rFonts w:ascii="Times New Roman" w:hAnsi="Times New Roman"/>
                <w:sz w:val="20"/>
              </w:rPr>
              <w:t>0.61 (0.28–1.30)</w:t>
            </w:r>
          </w:p>
        </w:tc>
        <w:tc>
          <w:tcPr>
            <w:tcW w:type="dxa" w:w="1872"/>
          </w:tcPr>
          <w:p>
            <w:r/>
            <w:r>
              <w:rPr>
                <w:rFonts w:ascii="Times New Roman" w:hAnsi="Times New Roman"/>
                <w:sz w:val="20"/>
              </w:rPr>
              <w:t>92.6%</w:t>
            </w:r>
          </w:p>
        </w:tc>
        <w:tc>
          <w:tcPr>
            <w:tcW w:type="dxa" w:w="1872"/>
          </w:tcPr>
          <w:p>
            <w:r/>
            <w:r>
              <w:rPr>
                <w:rFonts w:ascii="Times New Roman" w:hAnsi="Times New Roman"/>
                <w:sz w:val="20"/>
              </w:rPr>
              <w:t>87.3%</w:t>
            </w:r>
          </w:p>
        </w:tc>
        <w:tc>
          <w:tcPr>
            <w:tcW w:type="dxa" w:w="1872"/>
          </w:tcPr>
          <w:p>
            <w:r/>
            <w:r>
              <w:rPr>
                <w:rFonts w:ascii="Times New Roman" w:hAnsi="Times New Roman"/>
                <w:sz w:val="20"/>
              </w:rPr>
              <w:t>77.1%</w:t>
            </w:r>
          </w:p>
        </w:tc>
      </w:tr>
      <w:tr>
        <w:tc>
          <w:tcPr>
            <w:tcW w:type="dxa" w:w="1872"/>
          </w:tcPr>
          <w:p>
            <w:r/>
            <w:r>
              <w:rPr>
                <w:rFonts w:ascii="Times New Roman" w:hAnsi="Times New Roman"/>
                <w:sz w:val="20"/>
              </w:rPr>
              <w:t>0.7</w:t>
            </w:r>
          </w:p>
        </w:tc>
        <w:tc>
          <w:tcPr>
            <w:tcW w:type="dxa" w:w="1872"/>
          </w:tcPr>
          <w:p>
            <w:r/>
            <w:r>
              <w:rPr>
                <w:rFonts w:ascii="Times New Roman" w:hAnsi="Times New Roman"/>
                <w:sz w:val="20"/>
              </w:rPr>
              <w:t>0.57 (0.29–1.05)</w:t>
            </w:r>
          </w:p>
        </w:tc>
        <w:tc>
          <w:tcPr>
            <w:tcW w:type="dxa" w:w="1872"/>
          </w:tcPr>
          <w:p>
            <w:r/>
            <w:r>
              <w:rPr>
                <w:rFonts w:ascii="Times New Roman" w:hAnsi="Times New Roman"/>
                <w:sz w:val="20"/>
              </w:rPr>
              <w:t>96.6%</w:t>
            </w:r>
          </w:p>
        </w:tc>
        <w:tc>
          <w:tcPr>
            <w:tcW w:type="dxa" w:w="1872"/>
          </w:tcPr>
          <w:p>
            <w:r/>
            <w:r>
              <w:rPr>
                <w:rFonts w:ascii="Times New Roman" w:hAnsi="Times New Roman"/>
                <w:sz w:val="20"/>
              </w:rPr>
              <w:t>94.1%</w:t>
            </w:r>
          </w:p>
        </w:tc>
        <w:tc>
          <w:tcPr>
            <w:tcW w:type="dxa" w:w="1872"/>
          </w:tcPr>
          <w:p>
            <w:r/>
            <w:r>
              <w:rPr>
                <w:rFonts w:ascii="Times New Roman" w:hAnsi="Times New Roman"/>
                <w:sz w:val="20"/>
              </w:rPr>
              <w:t>87.4%</w:t>
            </w:r>
          </w:p>
        </w:tc>
      </w:tr>
      <w:tr>
        <w:tc>
          <w:tcPr>
            <w:tcW w:type="dxa" w:w="1872"/>
          </w:tcPr>
          <w:p>
            <w:r/>
            <w:r>
              <w:rPr>
                <w:rFonts w:ascii="Times New Roman" w:hAnsi="Times New Roman"/>
                <w:sz w:val="20"/>
              </w:rPr>
              <w:t>1.0 (full weight)</w:t>
            </w:r>
          </w:p>
        </w:tc>
        <w:tc>
          <w:tcPr>
            <w:tcW w:type="dxa" w:w="1872"/>
          </w:tcPr>
          <w:p>
            <w:r/>
            <w:r>
              <w:rPr>
                <w:rFonts w:ascii="Times New Roman" w:hAnsi="Times New Roman"/>
                <w:sz w:val="20"/>
              </w:rPr>
              <w:t>0.54 (0.32–0.91)</w:t>
            </w:r>
          </w:p>
        </w:tc>
        <w:tc>
          <w:tcPr>
            <w:tcW w:type="dxa" w:w="1872"/>
          </w:tcPr>
          <w:p>
            <w:r/>
            <w:r>
              <w:rPr>
                <w:rFonts w:ascii="Times New Roman" w:hAnsi="Times New Roman"/>
                <w:sz w:val="20"/>
              </w:rPr>
              <w:t>98.7%</w:t>
            </w:r>
          </w:p>
        </w:tc>
        <w:tc>
          <w:tcPr>
            <w:tcW w:type="dxa" w:w="1872"/>
          </w:tcPr>
          <w:p>
            <w:r/>
            <w:r>
              <w:rPr>
                <w:rFonts w:ascii="Times New Roman" w:hAnsi="Times New Roman"/>
                <w:sz w:val="20"/>
              </w:rPr>
              <w:t>97.2%</w:t>
            </w:r>
          </w:p>
        </w:tc>
        <w:tc>
          <w:tcPr>
            <w:tcW w:type="dxa" w:w="1872"/>
          </w:tcPr>
          <w:p>
            <w:r/>
            <w:r>
              <w:rPr>
                <w:rFonts w:ascii="Times New Roman" w:hAnsi="Times New Roman"/>
                <w:sz w:val="20"/>
              </w:rPr>
              <w:t>93.5%</w:t>
            </w:r>
          </w:p>
        </w:tc>
      </w:tr>
    </w:tbl>
    <w:p>
      <w:r>
        <w:rPr>
          <w:rFonts w:ascii="Times New Roman" w:hAnsi="Times New Roman"/>
          <w:b w:val="0"/>
          <w:i w:val="0"/>
          <w:sz w:val="24"/>
        </w:rPr>
        <w:t>At \alpha = 0 (ISIS-4 only), the posterior median OR was 1.11 with only 30.6% probability of benefit. As \alpha increased, incorporating pre-ISIS-4 evidence progressively shifted the posterior toward benefit. At \alpha = 0.3 (moderate discounting), the posterior OR was 0.73 with 77% probability of benefit. The sensitivity analysis demonstrates that conclusions about magnesium efficacy depend critically on the weight assigned to pre-ISIS-4 evidence (Fig. 5A).</w:t>
      </w:r>
    </w:p>
    <w:p>
      <w:pPr>
        <w:pStyle w:val="Heading4"/>
      </w:pPr>
      <w:r>
        <w:rPr>
          <w:color w:val="000000"/>
        </w:rPr>
        <w:t>Bayesian integration --- Statins in HF</w:t>
      </w:r>
    </w:p>
    <w:p>
      <w:r>
        <w:rPr>
          <w:rFonts w:ascii="Times New Roman" w:hAnsi="Times New Roman"/>
          <w:b/>
          <w:i w:val="0"/>
          <w:sz w:val="24"/>
        </w:rPr>
        <w:t>Table 6: Bayesian integration --- Statins in HF (power prior)</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b/>
                <w:sz w:val="20"/>
              </w:rPr>
              <w:t>$\alpha$</w:t>
            </w:r>
          </w:p>
        </w:tc>
        <w:tc>
          <w:tcPr>
            <w:tcW w:type="dxa" w:w="1872"/>
          </w:tcPr>
          <w:p>
            <w:r/>
            <w:r>
              <w:rPr>
                <w:rFonts w:ascii="Times New Roman" w:hAnsi="Times New Roman"/>
                <w:b/>
                <w:sz w:val="20"/>
              </w:rPr>
              <w:t>HR (95% CrI)</w:t>
            </w:r>
          </w:p>
        </w:tc>
        <w:tc>
          <w:tcPr>
            <w:tcW w:type="dxa" w:w="1872"/>
          </w:tcPr>
          <w:p>
            <w:r/>
            <w:r>
              <w:rPr>
                <w:rFonts w:ascii="Times New Roman" w:hAnsi="Times New Roman"/>
                <w:b/>
                <w:sz w:val="20"/>
              </w:rPr>
              <w:t>P(HR &lt; 1)</w:t>
            </w:r>
          </w:p>
        </w:tc>
        <w:tc>
          <w:tcPr>
            <w:tcW w:type="dxa" w:w="1872"/>
          </w:tcPr>
          <w:p>
            <w:r/>
            <w:r>
              <w:rPr>
                <w:rFonts w:ascii="Times New Roman" w:hAnsi="Times New Roman"/>
                <w:b/>
                <w:sz w:val="20"/>
              </w:rPr>
              <w:t>P(HR &lt; 0.90)</w:t>
            </w:r>
          </w:p>
        </w:tc>
        <w:tc>
          <w:tcPr>
            <w:tcW w:type="dxa" w:w="1872"/>
          </w:tcPr>
          <w:p>
            <w:r/>
            <w:r>
              <w:rPr>
                <w:rFonts w:ascii="Times New Roman" w:hAnsi="Times New Roman"/>
                <w:b/>
                <w:sz w:val="20"/>
              </w:rPr>
              <w:t>P(HR &lt; 0.80)</w:t>
            </w:r>
          </w:p>
        </w:tc>
      </w:tr>
      <w:tr>
        <w:tc>
          <w:tcPr>
            <w:tcW w:type="dxa" w:w="1872"/>
          </w:tcPr>
          <w:p>
            <w:r/>
            <w:r>
              <w:rPr>
                <w:rFonts w:ascii="Times New Roman" w:hAnsi="Times New Roman"/>
                <w:sz w:val="20"/>
              </w:rPr>
              <w:t>0.0 (RCTs only)</w:t>
            </w:r>
          </w:p>
        </w:tc>
        <w:tc>
          <w:tcPr>
            <w:tcW w:type="dxa" w:w="1872"/>
          </w:tcPr>
          <w:p>
            <w:r/>
            <w:r>
              <w:rPr>
                <w:rFonts w:ascii="Times New Roman" w:hAnsi="Times New Roman"/>
                <w:sz w:val="20"/>
              </w:rPr>
              <w:t>0.98 (0.63–2.35)</w:t>
            </w:r>
          </w:p>
        </w:tc>
        <w:tc>
          <w:tcPr>
            <w:tcW w:type="dxa" w:w="1872"/>
          </w:tcPr>
          <w:p>
            <w:r/>
            <w:r>
              <w:rPr>
                <w:rFonts w:ascii="Times New Roman" w:hAnsi="Times New Roman"/>
                <w:sz w:val="20"/>
              </w:rPr>
              <w:t>60.9%</w:t>
            </w:r>
          </w:p>
        </w:tc>
        <w:tc>
          <w:tcPr>
            <w:tcW w:type="dxa" w:w="1872"/>
          </w:tcPr>
          <w:p>
            <w:r/>
            <w:r>
              <w:rPr>
                <w:rFonts w:ascii="Times New Roman" w:hAnsi="Times New Roman"/>
                <w:sz w:val="20"/>
              </w:rPr>
              <w:t>17.7%</w:t>
            </w:r>
          </w:p>
        </w:tc>
        <w:tc>
          <w:tcPr>
            <w:tcW w:type="dxa" w:w="1872"/>
          </w:tcPr>
          <w:p>
            <w:r/>
            <w:r>
              <w:rPr>
                <w:rFonts w:ascii="Times New Roman" w:hAnsi="Times New Roman"/>
                <w:sz w:val="20"/>
              </w:rPr>
              <w:t>9.1%</w:t>
            </w:r>
          </w:p>
        </w:tc>
      </w:tr>
      <w:tr>
        <w:tc>
          <w:tcPr>
            <w:tcW w:type="dxa" w:w="1872"/>
          </w:tcPr>
          <w:p>
            <w:r/>
            <w:r>
              <w:rPr>
                <w:rFonts w:ascii="Times New Roman" w:hAnsi="Times New Roman"/>
                <w:sz w:val="20"/>
              </w:rPr>
              <w:t>0.1</w:t>
            </w:r>
          </w:p>
        </w:tc>
        <w:tc>
          <w:tcPr>
            <w:tcW w:type="dxa" w:w="1872"/>
          </w:tcPr>
          <w:p>
            <w:r/>
            <w:r>
              <w:rPr>
                <w:rFonts w:ascii="Times New Roman" w:hAnsi="Times New Roman"/>
                <w:sz w:val="20"/>
              </w:rPr>
              <w:t>0.92 (0.63–2.19)</w:t>
            </w:r>
          </w:p>
        </w:tc>
        <w:tc>
          <w:tcPr>
            <w:tcW w:type="dxa" w:w="1872"/>
          </w:tcPr>
          <w:p>
            <w:r/>
            <w:r>
              <w:rPr>
                <w:rFonts w:ascii="Times New Roman" w:hAnsi="Times New Roman"/>
                <w:sz w:val="20"/>
              </w:rPr>
              <w:t>70.4%</w:t>
            </w:r>
          </w:p>
        </w:tc>
        <w:tc>
          <w:tcPr>
            <w:tcW w:type="dxa" w:w="1872"/>
          </w:tcPr>
          <w:p>
            <w:r/>
            <w:r>
              <w:rPr>
                <w:rFonts w:ascii="Times New Roman" w:hAnsi="Times New Roman"/>
                <w:sz w:val="20"/>
              </w:rPr>
              <w:t>43.5%</w:t>
            </w:r>
          </w:p>
        </w:tc>
        <w:tc>
          <w:tcPr>
            <w:tcW w:type="dxa" w:w="1872"/>
          </w:tcPr>
          <w:p>
            <w:r/>
            <w:r>
              <w:rPr>
                <w:rFonts w:ascii="Times New Roman" w:hAnsi="Times New Roman"/>
                <w:sz w:val="20"/>
              </w:rPr>
              <w:t>17.7%</w:t>
            </w:r>
          </w:p>
        </w:tc>
      </w:tr>
      <w:tr>
        <w:tc>
          <w:tcPr>
            <w:tcW w:type="dxa" w:w="1872"/>
          </w:tcPr>
          <w:p>
            <w:r/>
            <w:r>
              <w:rPr>
                <w:rFonts w:ascii="Times New Roman" w:hAnsi="Times New Roman"/>
                <w:sz w:val="20"/>
              </w:rPr>
              <w:t>0.2</w:t>
            </w:r>
          </w:p>
        </w:tc>
        <w:tc>
          <w:tcPr>
            <w:tcW w:type="dxa" w:w="1872"/>
          </w:tcPr>
          <w:p>
            <w:r/>
            <w:r>
              <w:rPr>
                <w:rFonts w:ascii="Times New Roman" w:hAnsi="Times New Roman"/>
                <w:sz w:val="20"/>
              </w:rPr>
              <w:t>0.88 (0.60–1.80)</w:t>
            </w:r>
          </w:p>
        </w:tc>
        <w:tc>
          <w:tcPr>
            <w:tcW w:type="dxa" w:w="1872"/>
          </w:tcPr>
          <w:p>
            <w:r/>
            <w:r>
              <w:rPr>
                <w:rFonts w:ascii="Times New Roman" w:hAnsi="Times New Roman"/>
                <w:sz w:val="20"/>
              </w:rPr>
              <w:t>78.4%</w:t>
            </w:r>
          </w:p>
        </w:tc>
        <w:tc>
          <w:tcPr>
            <w:tcW w:type="dxa" w:w="1872"/>
          </w:tcPr>
          <w:p>
            <w:r/>
            <w:r>
              <w:rPr>
                <w:rFonts w:ascii="Times New Roman" w:hAnsi="Times New Roman"/>
                <w:sz w:val="20"/>
              </w:rPr>
              <w:t>57.0%</w:t>
            </w:r>
          </w:p>
        </w:tc>
        <w:tc>
          <w:tcPr>
            <w:tcW w:type="dxa" w:w="1872"/>
          </w:tcPr>
          <w:p>
            <w:r/>
            <w:r>
              <w:rPr>
                <w:rFonts w:ascii="Times New Roman" w:hAnsi="Times New Roman"/>
                <w:sz w:val="20"/>
              </w:rPr>
              <w:t>26.0%</w:t>
            </w:r>
          </w:p>
        </w:tc>
      </w:tr>
      <w:tr>
        <w:tc>
          <w:tcPr>
            <w:tcW w:type="dxa" w:w="1872"/>
          </w:tcPr>
          <w:p>
            <w:r/>
            <w:r>
              <w:rPr>
                <w:rFonts w:ascii="Times New Roman" w:hAnsi="Times New Roman"/>
                <w:sz w:val="20"/>
              </w:rPr>
              <w:t>0.3</w:t>
            </w:r>
          </w:p>
        </w:tc>
        <w:tc>
          <w:tcPr>
            <w:tcW w:type="dxa" w:w="1872"/>
          </w:tcPr>
          <w:p>
            <w:r/>
            <w:r>
              <w:rPr>
                <w:rFonts w:ascii="Times New Roman" w:hAnsi="Times New Roman"/>
                <w:sz w:val="20"/>
              </w:rPr>
              <w:t>0.85 (0.59–1.57)</w:t>
            </w:r>
          </w:p>
        </w:tc>
        <w:tc>
          <w:tcPr>
            <w:tcW w:type="dxa" w:w="1872"/>
          </w:tcPr>
          <w:p>
            <w:r/>
            <w:r>
              <w:rPr>
                <w:rFonts w:ascii="Times New Roman" w:hAnsi="Times New Roman"/>
                <w:sz w:val="20"/>
              </w:rPr>
              <w:t>83.7%</w:t>
            </w:r>
          </w:p>
        </w:tc>
        <w:tc>
          <w:tcPr>
            <w:tcW w:type="dxa" w:w="1872"/>
          </w:tcPr>
          <w:p>
            <w:r/>
            <w:r>
              <w:rPr>
                <w:rFonts w:ascii="Times New Roman" w:hAnsi="Times New Roman"/>
                <w:sz w:val="20"/>
              </w:rPr>
              <w:t>65.7%</w:t>
            </w:r>
          </w:p>
        </w:tc>
        <w:tc>
          <w:tcPr>
            <w:tcW w:type="dxa" w:w="1872"/>
          </w:tcPr>
          <w:p>
            <w:r/>
            <w:r>
              <w:rPr>
                <w:rFonts w:ascii="Times New Roman" w:hAnsi="Times New Roman"/>
                <w:sz w:val="20"/>
              </w:rPr>
              <w:t>32.8%</w:t>
            </w:r>
          </w:p>
        </w:tc>
      </w:tr>
      <w:tr>
        <w:tc>
          <w:tcPr>
            <w:tcW w:type="dxa" w:w="1872"/>
          </w:tcPr>
          <w:p>
            <w:r/>
            <w:r>
              <w:rPr>
                <w:rFonts w:ascii="Times New Roman" w:hAnsi="Times New Roman"/>
                <w:sz w:val="20"/>
              </w:rPr>
              <w:t>0.5</w:t>
            </w:r>
          </w:p>
        </w:tc>
        <w:tc>
          <w:tcPr>
            <w:tcW w:type="dxa" w:w="1872"/>
          </w:tcPr>
          <w:p>
            <w:r/>
            <w:r>
              <w:rPr>
                <w:rFonts w:ascii="Times New Roman" w:hAnsi="Times New Roman"/>
                <w:sz w:val="20"/>
              </w:rPr>
              <w:t>0.82 (0.62–1.15)</w:t>
            </w:r>
          </w:p>
        </w:tc>
        <w:tc>
          <w:tcPr>
            <w:tcW w:type="dxa" w:w="1872"/>
          </w:tcPr>
          <w:p>
            <w:r/>
            <w:r>
              <w:rPr>
                <w:rFonts w:ascii="Times New Roman" w:hAnsi="Times New Roman"/>
                <w:sz w:val="20"/>
              </w:rPr>
              <w:t>91.9%</w:t>
            </w:r>
          </w:p>
        </w:tc>
        <w:tc>
          <w:tcPr>
            <w:tcW w:type="dxa" w:w="1872"/>
          </w:tcPr>
          <w:p>
            <w:r/>
            <w:r>
              <w:rPr>
                <w:rFonts w:ascii="Times New Roman" w:hAnsi="Times New Roman"/>
                <w:sz w:val="20"/>
              </w:rPr>
              <w:t>79.2%</w:t>
            </w:r>
          </w:p>
        </w:tc>
        <w:tc>
          <w:tcPr>
            <w:tcW w:type="dxa" w:w="1872"/>
          </w:tcPr>
          <w:p>
            <w:r/>
            <w:r>
              <w:rPr>
                <w:rFonts w:ascii="Times New Roman" w:hAnsi="Times New Roman"/>
                <w:sz w:val="20"/>
              </w:rPr>
              <w:t>42.5%</w:t>
            </w:r>
          </w:p>
        </w:tc>
      </w:tr>
      <w:tr>
        <w:tc>
          <w:tcPr>
            <w:tcW w:type="dxa" w:w="1872"/>
          </w:tcPr>
          <w:p>
            <w:r/>
            <w:r>
              <w:rPr>
                <w:rFonts w:ascii="Times New Roman" w:hAnsi="Times New Roman"/>
                <w:sz w:val="20"/>
              </w:rPr>
              <w:t>0.7</w:t>
            </w:r>
          </w:p>
        </w:tc>
        <w:tc>
          <w:tcPr>
            <w:tcW w:type="dxa" w:w="1872"/>
          </w:tcPr>
          <w:p>
            <w:r/>
            <w:r>
              <w:rPr>
                <w:rFonts w:ascii="Times New Roman" w:hAnsi="Times New Roman"/>
                <w:sz w:val="20"/>
              </w:rPr>
              <w:t>0.79 (0.63–1.02)</w:t>
            </w:r>
          </w:p>
        </w:tc>
        <w:tc>
          <w:tcPr>
            <w:tcW w:type="dxa" w:w="1872"/>
          </w:tcPr>
          <w:p>
            <w:r/>
            <w:r>
              <w:rPr>
                <w:rFonts w:ascii="Times New Roman" w:hAnsi="Times New Roman"/>
                <w:sz w:val="20"/>
              </w:rPr>
              <w:t>96.8%</w:t>
            </w:r>
          </w:p>
        </w:tc>
        <w:tc>
          <w:tcPr>
            <w:tcW w:type="dxa" w:w="1872"/>
          </w:tcPr>
          <w:p>
            <w:r/>
            <w:r>
              <w:rPr>
                <w:rFonts w:ascii="Times New Roman" w:hAnsi="Times New Roman"/>
                <w:sz w:val="20"/>
              </w:rPr>
              <w:t>88.7%</w:t>
            </w:r>
          </w:p>
        </w:tc>
        <w:tc>
          <w:tcPr>
            <w:tcW w:type="dxa" w:w="1872"/>
          </w:tcPr>
          <w:p>
            <w:r/>
            <w:r>
              <w:rPr>
                <w:rFonts w:ascii="Times New Roman" w:hAnsi="Times New Roman"/>
                <w:sz w:val="20"/>
              </w:rPr>
              <w:t>53.4%</w:t>
            </w:r>
          </w:p>
        </w:tc>
      </w:tr>
      <w:tr>
        <w:tc>
          <w:tcPr>
            <w:tcW w:type="dxa" w:w="1872"/>
          </w:tcPr>
          <w:p>
            <w:r/>
            <w:r>
              <w:rPr>
                <w:rFonts w:ascii="Times New Roman" w:hAnsi="Times New Roman"/>
                <w:sz w:val="20"/>
              </w:rPr>
              <w:t>1.0 (full weight)</w:t>
            </w:r>
          </w:p>
        </w:tc>
        <w:tc>
          <w:tcPr>
            <w:tcW w:type="dxa" w:w="1872"/>
          </w:tcPr>
          <w:p>
            <w:r/>
            <w:r>
              <w:rPr>
                <w:rFonts w:ascii="Times New Roman" w:hAnsi="Times New Roman"/>
                <w:sz w:val="20"/>
              </w:rPr>
              <w:t>0.78 (0.65–0.95)</w:t>
            </w:r>
          </w:p>
        </w:tc>
        <w:tc>
          <w:tcPr>
            <w:tcW w:type="dxa" w:w="1872"/>
          </w:tcPr>
          <w:p>
            <w:r/>
            <w:r>
              <w:rPr>
                <w:rFonts w:ascii="Times New Roman" w:hAnsi="Times New Roman"/>
                <w:sz w:val="20"/>
              </w:rPr>
              <w:t>99.1%</w:t>
            </w:r>
          </w:p>
        </w:tc>
        <w:tc>
          <w:tcPr>
            <w:tcW w:type="dxa" w:w="1872"/>
          </w:tcPr>
          <w:p>
            <w:r/>
            <w:r>
              <w:rPr>
                <w:rFonts w:ascii="Times New Roman" w:hAnsi="Times New Roman"/>
                <w:sz w:val="20"/>
              </w:rPr>
              <w:t>94.8%</w:t>
            </w:r>
          </w:p>
        </w:tc>
        <w:tc>
          <w:tcPr>
            <w:tcW w:type="dxa" w:w="1872"/>
          </w:tcPr>
          <w:p>
            <w:r/>
            <w:r>
              <w:rPr>
                <w:rFonts w:ascii="Times New Roman" w:hAnsi="Times New Roman"/>
                <w:sz w:val="20"/>
              </w:rPr>
              <w:t>64.1%</w:t>
            </w:r>
          </w:p>
        </w:tc>
      </w:tr>
    </w:tbl>
    <w:p>
      <w:r>
        <w:rPr>
          <w:rFonts w:ascii="Times New Roman" w:hAnsi="Times New Roman"/>
          <w:b w:val="0"/>
          <w:i w:val="0"/>
          <w:sz w:val="24"/>
        </w:rPr>
        <w:t>At \alpha = 0 (RCTs only), the posterior probability of any benefit was only 60.9%, and the probability of clinically meaningful benefit (HR &lt; 0.90) was 17.7%. Even modest incorporation of observational evidence (\alpha = 0.3) increased P(HR &lt; 1) to 83.7% and P(HR &lt; 0.90) to 65.7%. The sensitivity analysis (Fig. 5B) shows a monotonic increase in posterior probability of benefit with increasing \alpha, but conclusions remain uncertain across the full range of discounting.</w:t>
      </w:r>
    </w:p>
    <w:p>
      <w:pPr>
        <w:pStyle w:val="Heading3"/>
      </w:pPr>
      <w:r>
        <w:rPr>
          <w:color w:val="000000"/>
        </w:rPr>
        <w:t>Module H results</w:t>
      </w:r>
    </w:p>
    <w:p>
      <w:pPr>
        <w:pStyle w:val="Heading4"/>
      </w:pPr>
      <w:r>
        <w:rPr>
          <w:color w:val="000000"/>
        </w:rPr>
        <w:t>Magnesium in AMI</w:t>
      </w:r>
    </w:p>
    <w:p>
      <w:r>
        <w:rPr>
          <w:rFonts w:ascii="Times New Roman" w:hAnsi="Times New Roman"/>
          <w:b/>
          <w:i w:val="0"/>
          <w:sz w:val="24"/>
        </w:rPr>
        <w:t>Assessment 1 (Information sufficiency)</w:t>
      </w:r>
      <w:r>
        <w:rPr>
          <w:rFonts w:ascii="Times New Roman" w:hAnsi="Times New Roman"/>
          <w:b w:val="0"/>
          <w:i w:val="0"/>
          <w:sz w:val="24"/>
        </w:rPr>
        <w:t>: The OIS for detecting OR = 0.54 at \alpha = 0.05 with 80% power was 85 events. The total events across all 12 trials were 4,617 (information fraction = 5426%). By this criterion, the meta-analysis was informationally sufficient. However, this assessment assumes the pre-ISIS-4 effect estimate is the true effect; if the true effect is more modest (e.g., OR = 0.75), the OIS would be 379 events, still exceeded by the available evidence.</w:t>
      </w:r>
    </w:p>
    <w:p>
      <w:r>
        <w:rPr>
          <w:rFonts w:ascii="Times New Roman" w:hAnsi="Times New Roman"/>
          <w:b/>
          <w:i w:val="0"/>
          <w:sz w:val="24"/>
        </w:rPr>
        <w:t>Assessment 2 (CI assessment)</w:t>
      </w:r>
      <w:r>
        <w:rPr>
          <w:rFonts w:ascii="Times New Roman" w:hAnsi="Times New Roman"/>
          <w:b w:val="0"/>
          <w:i w:val="0"/>
          <w:sz w:val="24"/>
        </w:rPr>
        <w:t>: The all-trials pooled OR = 0.56 (95% CI: 0.38–0.83) excluded 1.0, suggesting benefit. However, the high I^2 (62%) indicates substantial heterogeneity driven by the ISIS-4 result.</w:t>
      </w:r>
    </w:p>
    <w:p>
      <w:r>
        <w:rPr>
          <w:rFonts w:ascii="Times New Roman" w:hAnsi="Times New Roman"/>
          <w:b/>
          <w:i w:val="0"/>
          <w:sz w:val="24"/>
        </w:rPr>
        <w:t>Assessment 3 (Representativeness)</w:t>
      </w:r>
      <w:r>
        <w:rPr>
          <w:rFonts w:ascii="Times New Roman" w:hAnsi="Times New Roman"/>
          <w:b w:val="0"/>
          <w:i w:val="0"/>
          <w:sz w:val="24"/>
        </w:rPr>
        <w:t>: The event rate ratio (ISIS-4 / pre-thrombolysis) was 0.82. While this does not exceed the 1.5 threshold for serious indirectness, it reflects a temporal shift in background therapy rather than enrollment-driven event dilution per se.</w:t>
      </w:r>
    </w:p>
    <w:p>
      <w:r>
        <w:rPr>
          <w:rFonts w:ascii="Times New Roman" w:hAnsi="Times New Roman"/>
          <w:b/>
          <w:i w:val="0"/>
          <w:sz w:val="24"/>
        </w:rPr>
        <w:t>Assessment 4 (TSA)</w:t>
      </w:r>
      <w:r>
        <w:rPr>
          <w:rFonts w:ascii="Times New Roman" w:hAnsi="Times New Roman"/>
          <w:b w:val="0"/>
          <w:i w:val="0"/>
          <w:sz w:val="24"/>
        </w:rPr>
        <w:t>: We present the cumulative Z-curve using both fixed-effect and random-effects accumulation because the two models give different results in this case. Under a fixed-effect accumulation, the Z-statistic reached significance after the early small trials but was pulled back to 0.80 by ISIS-4 (below the conventional boundary of 1.96). Under a random-effects accumulation—the same model used for the pooled all-trials estimate—the final Z was -2.90, crossing both the conventional boundary and the O'Brien-Fleming boundary (0.27). This divergence is a direct consequence of the high between-study heterogeneity (I^2 = 62%) driven by the ISIS-4 result; it underscores that the magnesium evidence base contains a genuine shift in treatment effect across eras and should not be summarized by a single pooled estimate.</w:t>
      </w:r>
    </w:p>
    <w:p>
      <w:pPr>
        <w:pStyle w:val="Heading4"/>
      </w:pPr>
      <w:r>
        <w:rPr>
          <w:color w:val="000000"/>
        </w:rPr>
        <w:t>Statins in heart failure</w:t>
      </w:r>
    </w:p>
    <w:p>
      <w:r>
        <w:rPr>
          <w:rFonts w:ascii="Times New Roman" w:hAnsi="Times New Roman"/>
          <w:b/>
          <w:i w:val="0"/>
          <w:sz w:val="24"/>
        </w:rPr>
        <w:t>Assessment 1 (Information sufficiency)</w:t>
      </w:r>
      <w:r>
        <w:rPr>
          <w:rFonts w:ascii="Times New Roman" w:hAnsi="Times New Roman"/>
          <w:b w:val="0"/>
          <w:i w:val="0"/>
          <w:sz w:val="24"/>
        </w:rPr>
        <w:t>: The OIS for detecting HR = 0.72 at \alpha = 0.05 with 80% power was 279 events. The total RCT events were 1,385 (information fraction = 496%). The RCT evidence was informationally sufficient for the observational effect estimate.</w:t>
      </w:r>
    </w:p>
    <w:p>
      <w:r>
        <w:rPr>
          <w:rFonts w:ascii="Times New Roman" w:hAnsi="Times New Roman"/>
          <w:b/>
          <w:i w:val="0"/>
          <w:sz w:val="24"/>
        </w:rPr>
        <w:t>Assessment 2 (CI assessment)</w:t>
      </w:r>
      <w:r>
        <w:rPr>
          <w:rFonts w:ascii="Times New Roman" w:hAnsi="Times New Roman"/>
          <w:b w:val="0"/>
          <w:i w:val="0"/>
          <w:sz w:val="24"/>
        </w:rPr>
        <w:t>: The RCT pooled HR = 0.97 (95% CI: 0.90–1.05) included 1.0 but excluded 0.80, suggesting that a large benefit is unlikely based on RCT evidence alone.</w:t>
      </w:r>
    </w:p>
    <w:p>
      <w:r>
        <w:rPr>
          <w:rFonts w:ascii="Times New Roman" w:hAnsi="Times New Roman"/>
          <w:b/>
          <w:i w:val="0"/>
          <w:sz w:val="24"/>
        </w:rPr>
        <w:t>Assessment 3 (Representativeness)</w:t>
      </w:r>
      <w:r>
        <w:rPr>
          <w:rFonts w:ascii="Times New Roman" w:hAnsi="Times New Roman"/>
          <w:b w:val="0"/>
          <w:i w:val="0"/>
          <w:sz w:val="24"/>
        </w:rPr>
        <w:t xml:space="preserve">: The event rate ratio (RCT / observational) was 0.53, well below the 0.67 threshold. </w:t>
      </w:r>
      <w:r>
        <w:rPr>
          <w:rFonts w:ascii="Times New Roman" w:hAnsi="Times New Roman"/>
          <w:b/>
          <w:i w:val="0"/>
          <w:sz w:val="24"/>
        </w:rPr>
        <w:t>Classification: serious indirectness.</w:t>
      </w:r>
      <w:r>
        <w:rPr>
          <w:rFonts w:ascii="Times New Roman" w:hAnsi="Times New Roman"/>
          <w:b w:val="0"/>
          <w:i w:val="0"/>
          <w:sz w:val="24"/>
        </w:rPr>
        <w:t xml:space="preserve"> The RCT populations had substantially lower event rates than the observational cohorts, consistent with selection of lower-risk patients.</w:t>
      </w:r>
    </w:p>
    <w:p>
      <w:r>
        <w:rPr>
          <w:rFonts w:ascii="Times New Roman" w:hAnsi="Times New Roman"/>
          <w:b/>
          <w:i w:val="0"/>
          <w:sz w:val="24"/>
        </w:rPr>
        <w:t>Assessment 4 (TSA)</w:t>
      </w:r>
      <w:r>
        <w:rPr>
          <w:rFonts w:ascii="Times New Roman" w:hAnsi="Times New Roman"/>
          <w:b w:val="0"/>
          <w:i w:val="0"/>
          <w:sz w:val="24"/>
        </w:rPr>
        <w:t xml:space="preserve">: With an information fraction of 496%, the RCT evidence reached the OIS. The cumulative Z-statistic did not cross the efficacy boundary. Because the futility boundary was also not crossed, the appropriate TSA conclusion is </w:t>
      </w:r>
      <w:r>
        <w:rPr>
          <w:rFonts w:ascii="Times New Roman" w:hAnsi="Times New Roman"/>
          <w:b/>
          <w:i w:val="0"/>
          <w:sz w:val="24"/>
        </w:rPr>
        <w:t>inconclusive</w:t>
      </w:r>
      <w:r>
        <w:rPr>
          <w:rFonts w:ascii="Times New Roman" w:hAnsi="Times New Roman"/>
          <w:b w:val="0"/>
          <w:i w:val="0"/>
          <w:sz w:val="24"/>
        </w:rPr>
        <w:t xml:space="preserve"> rather than evidence of no benefit at the RCT-enrolled risk level.</w:t>
      </w:r>
    </w:p>
    <w:p>
      <w:pPr>
        <w:pStyle w:val="Heading4"/>
      </w:pPr>
      <w:r>
        <w:rPr>
          <w:color w:val="000000"/>
        </w:rPr>
        <w:t>Comparative GRADE assessment</w:t>
      </w:r>
    </w:p>
    <w:p>
      <w:r>
        <w:rPr>
          <w:rFonts w:ascii="Times New Roman" w:hAnsi="Times New Roman"/>
          <w:b w:val="0"/>
          <w:i w:val="0"/>
          <w:sz w:val="24"/>
        </w:rPr>
        <w:t>Fig. 8 presents the comparative GRADE assessment for both cases under standard and KOTHA-enhanced evaluation.</w:t>
      </w:r>
    </w:p>
    <w:p>
      <w:r>
        <w:rPr>
          <w:rFonts w:ascii="Times New Roman" w:hAnsi="Times New Roman"/>
          <w:b/>
          <w:i w:val="0"/>
          <w:sz w:val="24"/>
        </w:rPr>
        <w:t>Table 7: Module H assessment --- Standard GRADE vs. KOTHA-enhanced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b/>
                <w:sz w:val="20"/>
              </w:rPr>
              <w:t>GRADE domain</w:t>
            </w:r>
          </w:p>
        </w:tc>
        <w:tc>
          <w:tcPr>
            <w:tcW w:type="dxa" w:w="1872"/>
          </w:tcPr>
          <w:p>
            <w:r/>
            <w:r>
              <w:rPr>
                <w:rFonts w:ascii="Times New Roman" w:hAnsi="Times New Roman"/>
                <w:b/>
                <w:sz w:val="20"/>
              </w:rPr>
              <w:t>Standard (Mg in AMI)</w:t>
            </w:r>
          </w:p>
        </w:tc>
        <w:tc>
          <w:tcPr>
            <w:tcW w:type="dxa" w:w="1872"/>
          </w:tcPr>
          <w:p>
            <w:r/>
            <w:r>
              <w:rPr>
                <w:rFonts w:ascii="Times New Roman" w:hAnsi="Times New Roman"/>
                <w:b/>
                <w:sz w:val="20"/>
              </w:rPr>
              <w:t>KOTHA (Mg in AMI)</w:t>
            </w:r>
          </w:p>
        </w:tc>
        <w:tc>
          <w:tcPr>
            <w:tcW w:type="dxa" w:w="1872"/>
          </w:tcPr>
          <w:p>
            <w:r/>
            <w:r>
              <w:rPr>
                <w:rFonts w:ascii="Times New Roman" w:hAnsi="Times New Roman"/>
                <w:b/>
                <w:sz w:val="20"/>
              </w:rPr>
              <w:t>Standard (Statins HF)</w:t>
            </w:r>
          </w:p>
        </w:tc>
        <w:tc>
          <w:tcPr>
            <w:tcW w:type="dxa" w:w="1872"/>
          </w:tcPr>
          <w:p>
            <w:r/>
            <w:r>
              <w:rPr>
                <w:rFonts w:ascii="Times New Roman" w:hAnsi="Times New Roman"/>
                <w:b/>
                <w:sz w:val="20"/>
              </w:rPr>
              <w:t>KOTHA (Statins HF)</w:t>
            </w:r>
          </w:p>
        </w:tc>
      </w:tr>
      <w:tr>
        <w:tc>
          <w:tcPr>
            <w:tcW w:type="dxa" w:w="1872"/>
          </w:tcPr>
          <w:p>
            <w:r/>
            <w:r>
              <w:rPr>
                <w:rFonts w:ascii="Times New Roman" w:hAnsi="Times New Roman"/>
                <w:sz w:val="20"/>
              </w:rPr>
              <w:t>Risk of bias</w:t>
            </w:r>
          </w:p>
        </w:tc>
        <w:tc>
          <w:tcPr>
            <w:tcW w:type="dxa" w:w="1872"/>
          </w:tcPr>
          <w:p>
            <w:r/>
            <w:r>
              <w:rPr>
                <w:rFonts w:ascii="Times New Roman" w:hAnsi="Times New Roman"/>
                <w:sz w:val="20"/>
              </w:rPr>
              <w:t>Low</w:t>
            </w:r>
          </w:p>
        </w:tc>
        <w:tc>
          <w:tcPr>
            <w:tcW w:type="dxa" w:w="1872"/>
          </w:tcPr>
          <w:p>
            <w:r/>
            <w:r>
              <w:rPr>
                <w:rFonts w:ascii="Times New Roman" w:hAnsi="Times New Roman"/>
                <w:sz w:val="20"/>
              </w:rPr>
              <w:t>Low</w:t>
            </w:r>
          </w:p>
        </w:tc>
        <w:tc>
          <w:tcPr>
            <w:tcW w:type="dxa" w:w="1872"/>
          </w:tcPr>
          <w:p>
            <w:r/>
            <w:r>
              <w:rPr>
                <w:rFonts w:ascii="Times New Roman" w:hAnsi="Times New Roman"/>
                <w:sz w:val="20"/>
              </w:rPr>
              <w:t>Low</w:t>
            </w:r>
          </w:p>
        </w:tc>
        <w:tc>
          <w:tcPr>
            <w:tcW w:type="dxa" w:w="1872"/>
          </w:tcPr>
          <w:p>
            <w:r/>
            <w:r>
              <w:rPr>
                <w:rFonts w:ascii="Times New Roman" w:hAnsi="Times New Roman"/>
                <w:sz w:val="20"/>
              </w:rPr>
              <w:t>Low</w:t>
            </w:r>
          </w:p>
        </w:tc>
      </w:tr>
      <w:tr>
        <w:tc>
          <w:tcPr>
            <w:tcW w:type="dxa" w:w="1872"/>
          </w:tcPr>
          <w:p>
            <w:r/>
            <w:r>
              <w:rPr>
                <w:rFonts w:ascii="Times New Roman" w:hAnsi="Times New Roman"/>
                <w:sz w:val="20"/>
              </w:rPr>
              <w:t>Inconsistency</w:t>
            </w:r>
          </w:p>
        </w:tc>
        <w:tc>
          <w:tcPr>
            <w:tcW w:type="dxa" w:w="1872"/>
          </w:tcPr>
          <w:p>
            <w:r/>
            <w:r>
              <w:rPr>
                <w:rFonts w:ascii="Times New Roman" w:hAnsi="Times New Roman"/>
                <w:sz w:val="20"/>
              </w:rPr>
              <w:t>High (I^2 = 62%)</w:t>
            </w:r>
          </w:p>
        </w:tc>
        <w:tc>
          <w:tcPr>
            <w:tcW w:type="dxa" w:w="1872"/>
          </w:tcPr>
          <w:p>
            <w:r/>
            <w:r>
              <w:rPr>
                <w:rFonts w:ascii="Times New Roman" w:hAnsi="Times New Roman"/>
                <w:sz w:val="20"/>
              </w:rPr>
              <w:t>High (I^2 = 62%)</w:t>
            </w:r>
          </w:p>
        </w:tc>
        <w:tc>
          <w:tcPr>
            <w:tcW w:type="dxa" w:w="1872"/>
          </w:tcPr>
          <w:p>
            <w:r/>
            <w:r>
              <w:rPr>
                <w:rFonts w:ascii="Times New Roman" w:hAnsi="Times New Roman"/>
                <w:sz w:val="20"/>
              </w:rPr>
              <w:t>Low (I^2 = 0%)</w:t>
            </w:r>
          </w:p>
        </w:tc>
        <w:tc>
          <w:tcPr>
            <w:tcW w:type="dxa" w:w="1872"/>
          </w:tcPr>
          <w:p>
            <w:r/>
            <w:r>
              <w:rPr>
                <w:rFonts w:ascii="Times New Roman" w:hAnsi="Times New Roman"/>
                <w:sz w:val="20"/>
              </w:rPr>
              <w:t>Low (I^2 = 0%)</w:t>
            </w:r>
          </w:p>
        </w:tc>
      </w:tr>
      <w:tr>
        <w:tc>
          <w:tcPr>
            <w:tcW w:type="dxa" w:w="1872"/>
          </w:tcPr>
          <w:p>
            <w:r/>
            <w:r>
              <w:rPr>
                <w:rFonts w:ascii="Times New Roman" w:hAnsi="Times New Roman"/>
                <w:sz w:val="20"/>
              </w:rPr>
              <w:t>Indirectness</w:t>
            </w:r>
          </w:p>
        </w:tc>
        <w:tc>
          <w:tcPr>
            <w:tcW w:type="dxa" w:w="1872"/>
          </w:tcPr>
          <w:p>
            <w:r/>
            <w:r>
              <w:rPr>
                <w:rFonts w:ascii="Times New Roman" w:hAnsi="Times New Roman"/>
                <w:sz w:val="20"/>
              </w:rPr>
              <w:t>Not assessed</w:t>
            </w:r>
          </w:p>
        </w:tc>
        <w:tc>
          <w:tcPr>
            <w:tcW w:type="dxa" w:w="1872"/>
          </w:tcPr>
          <w:p>
            <w:r/>
            <w:r>
              <w:rPr>
                <w:rFonts w:ascii="Times New Roman" w:hAnsi="Times New Roman"/>
                <w:sz w:val="20"/>
              </w:rPr>
              <w:t>Moderate: event rate decreased by 18%</w:t>
            </w:r>
          </w:p>
        </w:tc>
        <w:tc>
          <w:tcPr>
            <w:tcW w:type="dxa" w:w="1872"/>
          </w:tcPr>
          <w:p>
            <w:r/>
            <w:r>
              <w:rPr>
                <w:rFonts w:ascii="Times New Roman" w:hAnsi="Times New Roman"/>
                <w:sz w:val="20"/>
              </w:rPr>
              <w:t>Not assessed</w:t>
            </w:r>
          </w:p>
        </w:tc>
        <w:tc>
          <w:tcPr>
            <w:tcW w:type="dxa" w:w="1872"/>
          </w:tcPr>
          <w:p>
            <w:r/>
            <w:r>
              <w:rPr>
                <w:rFonts w:ascii="Times New Roman" w:hAnsi="Times New Roman"/>
                <w:sz w:val="20"/>
              </w:rPr>
              <w:t>Serious: event rate decreased by 47%</w:t>
            </w:r>
          </w:p>
        </w:tc>
      </w:tr>
      <w:tr>
        <w:tc>
          <w:tcPr>
            <w:tcW w:type="dxa" w:w="1872"/>
          </w:tcPr>
          <w:p>
            <w:r/>
            <w:r>
              <w:rPr>
                <w:rFonts w:ascii="Times New Roman" w:hAnsi="Times New Roman"/>
                <w:sz w:val="20"/>
              </w:rPr>
              <w:t>Imprecision</w:t>
            </w:r>
          </w:p>
        </w:tc>
        <w:tc>
          <w:tcPr>
            <w:tcW w:type="dxa" w:w="1872"/>
          </w:tcPr>
          <w:p>
            <w:r/>
            <w:r>
              <w:rPr>
                <w:rFonts w:ascii="Times New Roman" w:hAnsi="Times New Roman"/>
                <w:sz w:val="20"/>
              </w:rPr>
              <w:t>Serious</w:t>
            </w:r>
          </w:p>
        </w:tc>
        <w:tc>
          <w:tcPr>
            <w:tcW w:type="dxa" w:w="1872"/>
          </w:tcPr>
          <w:p>
            <w:r/>
            <w:r>
              <w:rPr>
                <w:rFonts w:ascii="Times New Roman" w:hAnsi="Times New Roman"/>
                <w:sz w:val="20"/>
              </w:rPr>
              <w:t>Serious (heterogeneity-driven)</w:t>
            </w:r>
          </w:p>
        </w:tc>
        <w:tc>
          <w:tcPr>
            <w:tcW w:type="dxa" w:w="1872"/>
          </w:tcPr>
          <w:p>
            <w:r/>
            <w:r>
              <w:rPr>
                <w:rFonts w:ascii="Times New Roman" w:hAnsi="Times New Roman"/>
                <w:sz w:val="20"/>
              </w:rPr>
              <w:t>Serious</w:t>
            </w:r>
          </w:p>
        </w:tc>
        <w:tc>
          <w:tcPr>
            <w:tcW w:type="dxa" w:w="1872"/>
          </w:tcPr>
          <w:p>
            <w:r/>
            <w:r>
              <w:rPr>
                <w:rFonts w:ascii="Times New Roman" w:hAnsi="Times New Roman"/>
                <w:sz w:val="20"/>
              </w:rPr>
              <w:t>Serious</w:t>
            </w:r>
          </w:p>
        </w:tc>
      </w:tr>
      <w:tr>
        <w:tc>
          <w:tcPr>
            <w:tcW w:type="dxa" w:w="1872"/>
          </w:tcPr>
          <w:p>
            <w:r/>
            <w:r>
              <w:rPr>
                <w:rFonts w:ascii="Times New Roman" w:hAnsi="Times New Roman"/>
                <w:sz w:val="20"/>
              </w:rPr>
              <w:t>Overall certainty</w:t>
            </w:r>
          </w:p>
        </w:tc>
        <w:tc>
          <w:tcPr>
            <w:tcW w:type="dxa" w:w="1872"/>
          </w:tcPr>
          <w:p>
            <w:r/>
            <w:r>
              <w:rPr>
                <w:rFonts w:ascii="Times New Roman" w:hAnsi="Times New Roman"/>
                <w:sz w:val="20"/>
              </w:rPr>
              <w:t>Low</w:t>
            </w:r>
          </w:p>
        </w:tc>
        <w:tc>
          <w:tcPr>
            <w:tcW w:type="dxa" w:w="1872"/>
          </w:tcPr>
          <w:p>
            <w:r/>
            <w:r>
              <w:rPr>
                <w:rFonts w:ascii="Times New Roman" w:hAnsi="Times New Roman"/>
                <w:sz w:val="20"/>
              </w:rPr>
              <w:t>Very low</w:t>
            </w:r>
          </w:p>
        </w:tc>
        <w:tc>
          <w:tcPr>
            <w:tcW w:type="dxa" w:w="1872"/>
          </w:tcPr>
          <w:p>
            <w:r/>
            <w:r>
              <w:rPr>
                <w:rFonts w:ascii="Times New Roman" w:hAnsi="Times New Roman"/>
                <w:sz w:val="20"/>
              </w:rPr>
              <w:t>Moderate</w:t>
            </w:r>
          </w:p>
        </w:tc>
        <w:tc>
          <w:tcPr>
            <w:tcW w:type="dxa" w:w="1872"/>
          </w:tcPr>
          <w:p>
            <w:r/>
            <w:r>
              <w:rPr>
                <w:rFonts w:ascii="Times New Roman" w:hAnsi="Times New Roman"/>
                <w:sz w:val="20"/>
              </w:rPr>
              <w:t>Low</w:t>
            </w:r>
          </w:p>
        </w:tc>
      </w:tr>
      <w:tr>
        <w:tc>
          <w:tcPr>
            <w:tcW w:type="dxa" w:w="1872"/>
          </w:tcPr>
          <w:p>
            <w:r/>
            <w:r>
              <w:rPr>
                <w:rFonts w:ascii="Times New Roman" w:hAnsi="Times New Roman"/>
                <w:sz w:val="20"/>
              </w:rPr>
              <w:t>Recommendation</w:t>
            </w:r>
          </w:p>
        </w:tc>
        <w:tc>
          <w:tcPr>
            <w:tcW w:type="dxa" w:w="1872"/>
          </w:tcPr>
          <w:p>
            <w:r/>
            <w:r>
              <w:rPr>
                <w:rFonts w:ascii="Times New Roman" w:hAnsi="Times New Roman"/>
                <w:sz w:val="20"/>
              </w:rPr>
              <w:t>"No benefit demonstrated"</w:t>
            </w:r>
          </w:p>
        </w:tc>
        <w:tc>
          <w:tcPr>
            <w:tcW w:type="dxa" w:w="1872"/>
          </w:tcPr>
          <w:p>
            <w:r/>
            <w:r>
              <w:rPr>
                <w:rFonts w:ascii="Times New Roman" w:hAnsi="Times New Roman"/>
                <w:sz w:val="20"/>
              </w:rPr>
              <w:t>"Inconclusive; conditional recommendation"</w:t>
            </w:r>
          </w:p>
        </w:tc>
        <w:tc>
          <w:tcPr>
            <w:tcW w:type="dxa" w:w="1872"/>
          </w:tcPr>
          <w:p>
            <w:r/>
            <w:r>
              <w:rPr>
                <w:rFonts w:ascii="Times New Roman" w:hAnsi="Times New Roman"/>
                <w:sz w:val="20"/>
              </w:rPr>
              <w:t>"No benefit demonstrated"</w:t>
            </w:r>
          </w:p>
        </w:tc>
        <w:tc>
          <w:tcPr>
            <w:tcW w:type="dxa" w:w="1872"/>
          </w:tcPr>
          <w:p>
            <w:r/>
            <w:r>
              <w:rPr>
                <w:rFonts w:ascii="Times New Roman" w:hAnsi="Times New Roman"/>
                <w:sz w:val="20"/>
              </w:rPr>
              <w:t>"Inconclusive; conditional recommendation"</w:t>
            </w:r>
          </w:p>
        </w:tc>
      </w:tr>
    </w:tbl>
    <w:p>
      <w:r>
        <w:rPr>
          <w:rFonts w:ascii="Times New Roman" w:hAnsi="Times New Roman"/>
          <w:b w:val="0"/>
          <w:i w:val="0"/>
          <w:sz w:val="24"/>
        </w:rPr>
        <w:t xml:space="preserve">The key difference is in the </w:t>
      </w:r>
      <w:r>
        <w:rPr>
          <w:rFonts w:ascii="Times New Roman" w:hAnsi="Times New Roman"/>
          <w:b/>
          <w:i w:val="0"/>
          <w:sz w:val="24"/>
        </w:rPr>
        <w:t>indirectness</w:t>
      </w:r>
      <w:r>
        <w:rPr>
          <w:rFonts w:ascii="Times New Roman" w:hAnsi="Times New Roman"/>
          <w:b w:val="0"/>
          <w:i w:val="0"/>
          <w:sz w:val="24"/>
        </w:rPr>
        <w:t xml:space="preserve"> domain: standard GRADE assessment does not typically evaluate whether enrollment-driven event dilution has reduced the informativeness of the evidence. KOTHA-enhanced assessment explicitly quantifies this through the event rate ratio and adjusts the certainty rating accordingly.</w:t>
      </w:r>
    </w:p>
    <w:p>
      <w:pPr>
        <w:pStyle w:val="Heading2"/>
      </w:pPr>
      <w:r>
        <w:rPr>
          <w:color w:val="000000"/>
        </w:rPr>
        <w:t>Discussion</w:t>
      </w:r>
    </w:p>
    <w:p>
      <w:pPr>
        <w:pStyle w:val="Heading3"/>
      </w:pPr>
      <w:r>
        <w:rPr>
          <w:color w:val="000000"/>
        </w:rPr>
        <w:t>Principal findings</w:t>
      </w:r>
    </w:p>
    <w:p>
      <w:r>
        <w:rPr>
          <w:rFonts w:ascii="Times New Roman" w:hAnsi="Times New Roman"/>
          <w:b w:val="0"/>
          <w:i w:val="0"/>
          <w:sz w:val="24"/>
        </w:rPr>
        <w:t>The KOTHA Framework was illustrated using two canonical cases of observational-RCT divergence. In both cases, the framework identified structural features—temporal event dilution (magnesium) and population risk-profile differences (statins)—that contributed to the apparent discordance between observational and RCT evidence.</w:t>
      </w:r>
    </w:p>
    <w:p>
      <w:r>
        <w:rPr>
          <w:rFonts w:ascii="Times New Roman" w:hAnsi="Times New Roman"/>
          <w:b w:val="0"/>
          <w:i w:val="0"/>
          <w:sz w:val="24"/>
        </w:rPr>
        <w:t>For the magnesium case, Module K demonstrated that the shift from pre-thrombolysis to thrombolysis-era background therapy reduced control event rates by 18%, though the ISIS-4 trial was sufficiently powered to detect the large effect suggested by earlier trials. The divergence in this case is more attributable to heterogeneity across eras (reflected in I^2 = 62%) than to simple underpowering. Module T showed that the posterior estimate depends critically on the weight assigned to pre-ISIS-4 evidence, with the discounting parameter \alpha serving as a transparent sensitivity parameter.</w:t>
      </w:r>
    </w:p>
    <w:p>
      <w:r>
        <w:rPr>
          <w:rFonts w:ascii="Times New Roman" w:hAnsi="Times New Roman"/>
          <w:b w:val="0"/>
          <w:i w:val="0"/>
          <w:sz w:val="24"/>
        </w:rPr>
        <w:t>For the statins case, Module K revealed a more dramatic event dilution: RCT populations had approximately half the event rate of observational cohorts (ratio = 0.53). At the observational effect estimate (HR = 0.72), the RCTs had adequate power, but at more modest effects (HR = 0.85), power under the RCT event rate dropped to 58% compared with 85% under the observational rate. Module T demonstrated that even modest incorporation of observational evidence (\alpha = 0.3) shifted the posterior substantially toward benefit.</w:t>
      </w:r>
    </w:p>
    <w:p>
      <w:pPr>
        <w:pStyle w:val="Heading3"/>
      </w:pPr>
      <w:r>
        <w:rPr>
          <w:color w:val="000000"/>
        </w:rPr>
        <w:t>Comparison with existing methods</w:t>
      </w:r>
    </w:p>
    <w:p>
      <w:r>
        <w:rPr>
          <w:rFonts w:ascii="Times New Roman" w:hAnsi="Times New Roman"/>
          <w:b w:val="0"/>
          <w:i w:val="0"/>
          <w:sz w:val="24"/>
        </w:rPr>
        <w:t>Several existing methodologies address components of the problem that KOTHA integrates.</w:t>
      </w:r>
    </w:p>
    <w:p>
      <w:r>
        <w:rPr>
          <w:rFonts w:ascii="Times New Roman" w:hAnsi="Times New Roman"/>
          <w:b/>
          <w:i w:val="0"/>
          <w:sz w:val="24"/>
        </w:rPr>
        <w:t>Counterfactual simulation</w:t>
      </w:r>
      <w:r>
        <w:rPr>
          <w:rFonts w:ascii="Times New Roman" w:hAnsi="Times New Roman"/>
          <w:b w:val="0"/>
          <w:i w:val="0"/>
          <w:sz w:val="24"/>
        </w:rPr>
        <w:t xml:space="preserve">: Target trial emulation methods [27, 28] use observational data to emulate specific trial designs, primarily to estimate treatment effects. Module K differs in its focus: rather than estimating effects, it quantifies the </w:t>
      </w:r>
      <w:r>
        <w:rPr>
          <w:rFonts w:ascii="Times New Roman" w:hAnsi="Times New Roman"/>
          <w:b/>
          <w:i w:val="0"/>
          <w:sz w:val="24"/>
        </w:rPr>
        <w:t>information loss</w:t>
      </w:r>
      <w:r>
        <w:rPr>
          <w:rFonts w:ascii="Times New Roman" w:hAnsi="Times New Roman"/>
          <w:b w:val="0"/>
          <w:i w:val="0"/>
          <w:sz w:val="24"/>
        </w:rPr>
        <w:t xml:space="preserve"> attributable to trial design decisions. This diagnostic orientation is complementary to target trial emulation.</w:t>
      </w:r>
    </w:p>
    <w:p>
      <w:r>
        <w:rPr>
          <w:rFonts w:ascii="Times New Roman" w:hAnsi="Times New Roman"/>
          <w:b/>
          <w:i w:val="0"/>
          <w:sz w:val="24"/>
        </w:rPr>
        <w:t>Bayesian evidence synthesis</w:t>
      </w:r>
      <w:r>
        <w:rPr>
          <w:rFonts w:ascii="Times New Roman" w:hAnsi="Times New Roman"/>
          <w:b w:val="0"/>
          <w:i w:val="0"/>
          <w:sz w:val="24"/>
        </w:rPr>
        <w:t>: Methods for combining RCT and observational evidence have been proposed [29, 30, 31], including hierarchical models with design-specific bias terms, power priors, and meta-analytic-predictive priors. Module T builds on these methods but integrates them within a broader framework that explicitly links the need for integration (diagnosed by Module K) with the interpretation of integrated estimates (operationalized by Module H).</w:t>
      </w:r>
    </w:p>
    <w:p>
      <w:r>
        <w:rPr>
          <w:rFonts w:ascii="Times New Roman" w:hAnsi="Times New Roman"/>
          <w:b/>
          <w:i w:val="0"/>
          <w:sz w:val="24"/>
        </w:rPr>
        <w:t>Information size and TSA</w:t>
      </w:r>
      <w:r>
        <w:rPr>
          <w:rFonts w:ascii="Times New Roman" w:hAnsi="Times New Roman"/>
          <w:b w:val="0"/>
          <w:i w:val="0"/>
          <w:sz w:val="24"/>
        </w:rPr>
        <w:t>: The concepts of optimal information size [6, 7] and trial sequential analysis [8, 9] are established but underutilized in guideline development. Module H embeds these assessments within a structured checklist and provides standardized recommendation language, lowering the barrier to adoption.</w:t>
      </w:r>
    </w:p>
    <w:p>
      <w:r>
        <w:rPr>
          <w:rFonts w:ascii="Times New Roman" w:hAnsi="Times New Roman"/>
          <w:b/>
          <w:i w:val="0"/>
          <w:sz w:val="24"/>
        </w:rPr>
        <w:t>GRADE</w:t>
      </w:r>
      <w:r>
        <w:rPr>
          <w:rFonts w:ascii="Times New Roman" w:hAnsi="Times New Roman"/>
          <w:b w:val="0"/>
          <w:i w:val="0"/>
          <w:sz w:val="24"/>
        </w:rPr>
        <w:t>: The GRADE framework [1] provides domains for assessing evidence certainty but does not currently include tools for quantifying the contribution of enrollment-driven event dilution to imprecision or indirectness. KOTHA provides quantitative inputs to these domains without modifying the GRADE structure itself.</w:t>
      </w:r>
    </w:p>
    <w:p>
      <w:r>
        <w:rPr>
          <w:rFonts w:ascii="Times New Roman" w:hAnsi="Times New Roman"/>
          <w:b/>
          <w:i w:val="0"/>
          <w:sz w:val="24"/>
        </w:rPr>
        <w:t>Relationship to the design strategies in Table 1</w:t>
      </w:r>
      <w:r>
        <w:rPr>
          <w:rFonts w:ascii="Times New Roman" w:hAnsi="Times New Roman"/>
          <w:b w:val="0"/>
          <w:i w:val="0"/>
          <w:sz w:val="24"/>
        </w:rPr>
        <w:t>. The approaches listed in Table 1 (stratified randomization, prognostic enrichment, event-driven design, adaptive sample-size re-estimation, external-data-informed design, and pragmatic/registry-based trials) are primarily prospective trial-design strategies. Each can prevent or mitigate event dilution at the design stage, but none offers a retrospective diagnostic once a trial or meta-analysis has been completed. KOTHA is complementary rather than competitive: it can quantify the information loss that remains after these design strategies have been applied, and it can integrate observational evidence when trial evidence alone is informationally insufficient. For example, an event-driven design may reach its target number of events in an enriched population, but Module K can still ask whether the same number of events would have been observed in the broader target population, and Module T can incorporate real-world evidence to inform the recommendation for that broader population.</w:t>
      </w:r>
    </w:p>
    <w:p>
      <w:pPr>
        <w:pStyle w:val="Heading3"/>
      </w:pPr>
      <w:r>
        <w:rPr>
          <w:color w:val="000000"/>
        </w:rPr>
        <w:t>Implications for clinical practice</w:t>
      </w:r>
    </w:p>
    <w:p>
      <w:r>
        <w:rPr>
          <w:rFonts w:ascii="Times New Roman" w:hAnsi="Times New Roman"/>
          <w:b w:val="0"/>
          <w:i w:val="0"/>
          <w:sz w:val="24"/>
        </w:rPr>
        <w:t>The practical significance of KOTHA lies in its capacity to change the interpretation of "negative" RCT meta-analyses. In the statins-in-HF case, the standard interpretation — "no significant benefit, therefore not recommended" — is replaced by a nuanced assessment that recognizes the substantial event rate difference between RCT and observational populations, quantifies the impact on power, and provides an integrated estimate that accounts for all available evidence. This may be particularly important in clinical domains where:</w:t>
      </w:r>
    </w:p>
    <w:p>
      <w:pPr>
        <w:pStyle w:val="ListBullet"/>
      </w:pPr>
      <w:r>
        <w:rPr>
          <w:rFonts w:ascii="Times New Roman" w:hAnsi="Times New Roman"/>
          <w:b w:val="0"/>
          <w:i w:val="0"/>
          <w:sz w:val="24"/>
        </w:rPr>
        <w:t>The target population is inherently high-risk but RCTs preferentially enroll lower-risk patients</w:t>
      </w:r>
    </w:p>
    <w:p>
      <w:pPr>
        <w:pStyle w:val="ListBullet"/>
      </w:pPr>
      <w:r>
        <w:rPr>
          <w:rFonts w:ascii="Times New Roman" w:hAnsi="Times New Roman"/>
          <w:b w:val="0"/>
          <w:i w:val="0"/>
          <w:sz w:val="24"/>
        </w:rPr>
        <w:t>Events are rare or require long follow-up, making adequately powered RCTs expensive and time-consuming</w:t>
      </w:r>
    </w:p>
    <w:p>
      <w:pPr>
        <w:pStyle w:val="ListBullet"/>
      </w:pPr>
      <w:r>
        <w:rPr>
          <w:rFonts w:ascii="Times New Roman" w:hAnsi="Times New Roman"/>
          <w:b w:val="0"/>
          <w:i w:val="0"/>
          <w:sz w:val="24"/>
        </w:rPr>
        <w:t>Observational evidence from large databases is abundant and of high methodological quality</w:t>
      </w:r>
    </w:p>
    <w:p>
      <w:pPr>
        <w:pStyle w:val="ListBullet"/>
      </w:pPr>
      <w:r>
        <w:rPr>
          <w:rFonts w:ascii="Times New Roman" w:hAnsi="Times New Roman"/>
          <w:b w:val="0"/>
          <w:i w:val="0"/>
          <w:sz w:val="24"/>
        </w:rPr>
        <w:t>Guideline recommendations have direct consequences for treatment access (e.g., formulary decisions, insurance coverage)</w:t>
      </w:r>
    </w:p>
    <w:p>
      <w:pPr>
        <w:pStyle w:val="Heading3"/>
      </w:pPr>
      <w:r>
        <w:rPr>
          <w:color w:val="000000"/>
        </w:rPr>
        <w:t>Implications for trial design</w:t>
      </w:r>
    </w:p>
    <w:p>
      <w:r>
        <w:rPr>
          <w:rFonts w:ascii="Times New Roman" w:hAnsi="Times New Roman"/>
          <w:b w:val="0"/>
          <w:i w:val="0"/>
          <w:sz w:val="24"/>
        </w:rPr>
        <w:t>Module K has prospective utility beyond retrospective analysis. By quantifying expected information loss under different enrollment strategies before a trial is conducted, it can inform:</w:t>
      </w:r>
    </w:p>
    <w:p>
      <w:pPr>
        <w:pStyle w:val="ListBullet"/>
      </w:pPr>
      <w:r>
        <w:rPr>
          <w:rFonts w:ascii="Times New Roman" w:hAnsi="Times New Roman"/>
          <w:b w:val="0"/>
          <w:i w:val="0"/>
          <w:sz w:val="24"/>
        </w:rPr>
        <w:t>Sample size planning adjusted for anticipated event dilution</w:t>
      </w:r>
    </w:p>
    <w:p>
      <w:pPr>
        <w:pStyle w:val="ListBullet"/>
      </w:pPr>
      <w:r>
        <w:rPr>
          <w:rFonts w:ascii="Times New Roman" w:hAnsi="Times New Roman"/>
          <w:b w:val="0"/>
          <w:i w:val="0"/>
          <w:sz w:val="24"/>
        </w:rPr>
        <w:t>Eligibility criteria optimization, balancing safety exclusions against information loss</w:t>
      </w:r>
    </w:p>
    <w:p>
      <w:pPr>
        <w:pStyle w:val="ListBullet"/>
      </w:pPr>
      <w:r>
        <w:rPr>
          <w:rFonts w:ascii="Times New Roman" w:hAnsi="Times New Roman"/>
          <w:b w:val="0"/>
          <w:i w:val="0"/>
          <w:sz w:val="24"/>
        </w:rPr>
        <w:t>Enrichment threshold specification (minimum high-risk enrollment proportions)</w:t>
      </w:r>
    </w:p>
    <w:p>
      <w:pPr>
        <w:pStyle w:val="ListBullet"/>
      </w:pPr>
      <w:r>
        <w:rPr>
          <w:rFonts w:ascii="Times New Roman" w:hAnsi="Times New Roman"/>
          <w:b w:val="0"/>
          <w:i w:val="0"/>
          <w:sz w:val="24"/>
        </w:rPr>
        <w:t>Endpoint selection favoring outcomes with sufficient event rates across risk strata</w:t>
      </w:r>
    </w:p>
    <w:p>
      <w:pPr>
        <w:pStyle w:val="Heading3"/>
      </w:pPr>
      <w:r>
        <w:rPr>
          <w:color w:val="000000"/>
        </w:rPr>
        <w:t>Strengths and limitations</w:t>
      </w:r>
    </w:p>
    <w:p>
      <w:r>
        <w:rPr>
          <w:rFonts w:ascii="Times New Roman" w:hAnsi="Times New Roman"/>
          <w:b/>
          <w:i w:val="0"/>
          <w:sz w:val="24"/>
        </w:rPr>
        <w:t>Strengths</w:t>
      </w:r>
      <w:r>
        <w:rPr>
          <w:rFonts w:ascii="Times New Roman" w:hAnsi="Times New Roman"/>
          <w:b w:val="0"/>
          <w:i w:val="0"/>
          <w:sz w:val="24"/>
        </w:rPr>
        <w:t>: The KOTHA Framework integrates three complementary analytical approaches into a coherent workflow. The simulation component (Module K) follows the ADEMP reporting structure for transparency and reproducibility [10]. The Bayesian integration (Module T) provides multiple discounting approaches with mandatory sensitivity analysis, avoiding reliance on any single assumption about observational evidence quality. The guideline interpretation module (Module H) maps directly onto the established GRADE framework, facilitating adoption. Critically, the framework has been illustrated using real published data from two well-known cases, moving beyond purely hypothetical examples.</w:t>
      </w:r>
    </w:p>
    <w:p>
      <w:r>
        <w:rPr>
          <w:rFonts w:ascii="Times New Roman" w:hAnsi="Times New Roman"/>
          <w:b/>
          <w:i w:val="0"/>
          <w:sz w:val="24"/>
        </w:rPr>
        <w:t>Limitations</w:t>
      </w:r>
      <w:r>
        <w:rPr>
          <w:rFonts w:ascii="Times New Roman" w:hAnsi="Times New Roman"/>
          <w:b w:val="0"/>
          <w:i w:val="0"/>
          <w:sz w:val="24"/>
        </w:rPr>
        <w:t>: Several important limitations should be acknowledged.</w:t>
      </w:r>
    </w:p>
    <w:p>
      <w:r>
        <w:rPr>
          <w:rFonts w:ascii="Times New Roman" w:hAnsi="Times New Roman"/>
          <w:b w:val="0"/>
          <w:i w:val="0"/>
          <w:sz w:val="24"/>
        </w:rPr>
        <w:t>First, the illustrative cases, while well-documented, represent retrospective application of the framework. Prospective validation — applying KOTHA before the results of a large trial are known — would provide stronger evidence of utility.</w:t>
      </w:r>
    </w:p>
    <w:p>
      <w:r>
        <w:rPr>
          <w:rFonts w:ascii="Times New Roman" w:hAnsi="Times New Roman"/>
          <w:b w:val="0"/>
          <w:i w:val="0"/>
          <w:sz w:val="24"/>
        </w:rPr>
        <w:t>Second, Module T results are sensitive to the specification of the discounting parameter \alpha. While sensitivity analysis across multiple values is mandatory, the choice of a "preferred" \alpha for decision-making remains subjective. Future work should develop empirically calibrated guidelines for \alpha selection based on the quality and relevance of prior evidence.</w:t>
      </w:r>
    </w:p>
    <w:p>
      <w:r>
        <w:rPr>
          <w:rFonts w:ascii="Times New Roman" w:hAnsi="Times New Roman"/>
          <w:b w:val="0"/>
          <w:i w:val="0"/>
          <w:sz w:val="24"/>
        </w:rPr>
        <w:t>Third, the magnesium case illustrates a limitation: the divergence between pre-ISIS-4 trials and ISIS-4 may reflect genuine heterogeneity in treatment effect across eras (due to changes in background therapy) rather than simple event dilution. The KOTHA Framework can identify this heterogeneity but cannot definitively distinguish between "the treatment works but the trial was underpowered" and "the treatment effect has genuinely changed."</w:t>
      </w:r>
    </w:p>
    <w:p>
      <w:r>
        <w:rPr>
          <w:rFonts w:ascii="Times New Roman" w:hAnsi="Times New Roman"/>
          <w:b w:val="0"/>
          <w:i w:val="0"/>
          <w:sz w:val="24"/>
        </w:rPr>
        <w:t>Fourth, the statins case involves observational studies with potential residual confounding. While Module T's discounting approach addresses this, the true magnitude of confounding bias is unknown. The framework provides a range of estimates under different assumptions but cannot eliminate this fundamental uncertainty.</w:t>
      </w:r>
    </w:p>
    <w:p>
      <w:r>
        <w:rPr>
          <w:rFonts w:ascii="Times New Roman" w:hAnsi="Times New Roman"/>
          <w:b w:val="0"/>
          <w:i w:val="0"/>
          <w:sz w:val="24"/>
        </w:rPr>
        <w:t>Fifth, the framework requires adoption by guideline committees and systematic review groups, which involves institutional and cultural change beyond methodological innovation.</w:t>
      </w:r>
    </w:p>
    <w:p>
      <w:r>
        <w:rPr>
          <w:rFonts w:ascii="Times New Roman" w:hAnsi="Times New Roman"/>
          <w:b w:val="0"/>
          <w:i w:val="0"/>
          <w:sz w:val="24"/>
        </w:rPr>
        <w:t>Sixth, each module has prerequisites that will not always be met in practice. Module K requires either a representative retrospective cohort or reliable aggregate event-rate data; when neither is available, the indirectness assessment in Module H must rely on qualitative judgment. Module T requires study-level estimates from both RCT and observational sources and a transparent choice of discounting and bias-adjustment parameters. Module H requires an OIS/TSA calculation and a GRADE assessment. When a prerequisite is not met, the corresponding module should be omitted or downgraded, and the final certainty rating should reflect the missing quantitative input.</w:t>
      </w:r>
    </w:p>
    <w:p>
      <w:pPr>
        <w:pStyle w:val="Heading3"/>
      </w:pPr>
      <w:r>
        <w:rPr>
          <w:color w:val="000000"/>
        </w:rPr>
        <w:t>Future research</w:t>
      </w:r>
    </w:p>
    <w:p>
      <w:r>
        <w:rPr>
          <w:rFonts w:ascii="Times New Roman" w:hAnsi="Times New Roman"/>
          <w:b w:val="0"/>
          <w:i w:val="0"/>
          <w:sz w:val="24"/>
        </w:rPr>
        <w:t>Several directions for future work are identified:</w:t>
      </w:r>
    </w:p>
    <w:p>
      <w:pPr>
        <w:pStyle w:val="ListNumber"/>
      </w:pPr>
      <w:r>
        <w:rPr>
          <w:rFonts w:ascii="Times New Roman" w:hAnsi="Times New Roman"/>
          <w:b/>
          <w:i w:val="0"/>
          <w:sz w:val="24"/>
        </w:rPr>
        <w:t>Prospective validation</w:t>
      </w:r>
      <w:r>
        <w:rPr>
          <w:rFonts w:ascii="Times New Roman" w:hAnsi="Times New Roman"/>
          <w:b w:val="0"/>
          <w:i w:val="0"/>
          <w:sz w:val="24"/>
        </w:rPr>
        <w:t>: Apply the KOTHA Framework prospectively to ongoing clinical questions where large RCTs are planned, and compare KOTHA predictions with actual trial results.</w:t>
      </w:r>
    </w:p>
    <w:p>
      <w:pPr>
        <w:pStyle w:val="ListNumber"/>
      </w:pPr>
      <w:r>
        <w:rPr>
          <w:rFonts w:ascii="Times New Roman" w:hAnsi="Times New Roman"/>
          <w:b/>
          <w:i w:val="0"/>
          <w:sz w:val="24"/>
        </w:rPr>
        <w:t>Software development</w:t>
      </w:r>
      <w:r>
        <w:rPr>
          <w:rFonts w:ascii="Times New Roman" w:hAnsi="Times New Roman"/>
          <w:b w:val="0"/>
          <w:i w:val="0"/>
          <w:sz w:val="24"/>
        </w:rPr>
        <w:t>: Develop open-source tools (R package and Python library) implementing all three modules with standardized reporting templates.</w:t>
      </w:r>
    </w:p>
    <w:p>
      <w:pPr>
        <w:pStyle w:val="ListNumber"/>
      </w:pPr>
      <w:r>
        <w:rPr>
          <w:rFonts w:ascii="Times New Roman" w:hAnsi="Times New Roman"/>
          <w:b/>
          <w:i w:val="0"/>
          <w:sz w:val="24"/>
        </w:rPr>
        <w:t>Guideline pilot</w:t>
      </w:r>
      <w:r>
        <w:rPr>
          <w:rFonts w:ascii="Times New Roman" w:hAnsi="Times New Roman"/>
          <w:b w:val="0"/>
          <w:i w:val="0"/>
          <w:sz w:val="24"/>
        </w:rPr>
        <w:t>: Collaborate with guideline development groups to pilot Module H in real recommendation processes and evaluate its impact on recommendation language and certainty ratings.</w:t>
      </w:r>
    </w:p>
    <w:p>
      <w:pPr>
        <w:pStyle w:val="ListNumber"/>
      </w:pPr>
      <w:r>
        <w:rPr>
          <w:rFonts w:ascii="Times New Roman" w:hAnsi="Times New Roman"/>
          <w:b/>
          <w:i w:val="0"/>
          <w:sz w:val="24"/>
        </w:rPr>
        <w:t>Extension to network meta-analysis</w:t>
      </w:r>
      <w:r>
        <w:rPr>
          <w:rFonts w:ascii="Times New Roman" w:hAnsi="Times New Roman"/>
          <w:b w:val="0"/>
          <w:i w:val="0"/>
          <w:sz w:val="24"/>
        </w:rPr>
        <w:t>: Adapt the framework for indirect comparisons and network evidence synthesis.</w:t>
      </w:r>
    </w:p>
    <w:p>
      <w:pPr>
        <w:pStyle w:val="ListNumber"/>
      </w:pPr>
      <w:r>
        <w:rPr>
          <w:rFonts w:ascii="Times New Roman" w:hAnsi="Times New Roman"/>
          <w:b/>
          <w:i w:val="0"/>
          <w:sz w:val="24"/>
        </w:rPr>
        <w:t>Calibration of \alpha</w:t>
      </w:r>
      <w:r>
        <w:rPr>
          <w:rFonts w:ascii="Times New Roman" w:hAnsi="Times New Roman"/>
          <w:b w:val="0"/>
          <w:i w:val="0"/>
          <w:sz w:val="24"/>
        </w:rPr>
        <w:t>: Conduct systematic empirical studies to estimate appropriate discounting parameters by clinical domain, providing calibrated guidelines for Module T application.</w:t>
      </w:r>
    </w:p>
    <w:p>
      <w:pPr>
        <w:pStyle w:val="ListNumber"/>
      </w:pPr>
      <w:r>
        <w:rPr>
          <w:rFonts w:ascii="Times New Roman" w:hAnsi="Times New Roman"/>
          <w:b/>
          <w:i w:val="0"/>
          <w:sz w:val="24"/>
        </w:rPr>
        <w:t>Additional illustrative cases</w:t>
      </w:r>
      <w:r>
        <w:rPr>
          <w:rFonts w:ascii="Times New Roman" w:hAnsi="Times New Roman"/>
          <w:b w:val="0"/>
          <w:i w:val="0"/>
          <w:sz w:val="24"/>
        </w:rPr>
        <w:t>: Apply the framework to other well-documented cases of observational-RCT divergence (e.g., hormone replacement therapy and cardiovascular outcomes, vitamin E supplementation).</w:t>
      </w:r>
    </w:p>
    <w:p>
      <w:pPr>
        <w:pStyle w:val="Heading2"/>
      </w:pPr>
      <w:r>
        <w:rPr>
          <w:color w:val="000000"/>
        </w:rPr>
        <w:t>Conclusions</w:t>
      </w:r>
    </w:p>
    <w:p>
      <w:r>
        <w:rPr>
          <w:rFonts w:ascii="Times New Roman" w:hAnsi="Times New Roman"/>
          <w:b w:val="0"/>
          <w:i w:val="0"/>
          <w:sz w:val="24"/>
        </w:rPr>
        <w:t>The KOTHA Framework (Knowledge-driven Observational-Trial Harmonization Approach) addresses the underrecognized problem of structural information loss in RCT meta-analyses through three complementary modules: counterfactual power simulation (Module K), hierarchical Bayesian evidence integration (Module T), and structured guideline interpretation (Module H). Empirical illustration using two canonical cases — intravenous magnesium in AMI and statins in heart failure — demonstrates that the framework can identify structural features contributing to observational-RCT divergence and produce more nuanced evidence assessments than standard approaches.</w:t>
      </w:r>
    </w:p>
    <w:p>
      <w:r>
        <w:rPr>
          <w:rFonts w:ascii="Times New Roman" w:hAnsi="Times New Roman"/>
          <w:b w:val="0"/>
          <w:i w:val="0"/>
          <w:sz w:val="24"/>
        </w:rPr>
        <w:t>By reframing the question from "Does the treatment work?" to "Did the evidence base have sufficient information to answer this question?", KOTHA offers a pathway to more nuanced and clinically useful evidence evaluation, with the potential to prevent systematic undervaluation of treatments that may benefit the patients who need them most.</w:t>
      </w:r>
    </w:p>
    <w:p>
      <w:pPr>
        <w:pStyle w:val="Heading2"/>
      </w:pPr>
      <w:r>
        <w:rPr>
          <w:color w:val="000000"/>
        </w:rPr>
        <w:t>List of abbreviations</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b/>
                <w:sz w:val="20"/>
              </w:rPr>
              <w:t>Abbreviation</w:t>
            </w:r>
          </w:p>
        </w:tc>
        <w:tc>
          <w:tcPr>
            <w:tcW w:type="dxa" w:w="4680"/>
          </w:tcPr>
          <w:p>
            <w:r/>
            <w:r>
              <w:rPr>
                <w:rFonts w:ascii="Times New Roman" w:hAnsi="Times New Roman"/>
                <w:b/>
                <w:sz w:val="20"/>
              </w:rPr>
              <w:t>Definition</w:t>
            </w:r>
          </w:p>
        </w:tc>
      </w:tr>
      <w:tr>
        <w:tc>
          <w:tcPr>
            <w:tcW w:type="dxa" w:w="4680"/>
          </w:tcPr>
          <w:p>
            <w:r/>
            <w:r>
              <w:rPr>
                <w:rFonts w:ascii="Times New Roman" w:hAnsi="Times New Roman"/>
                <w:sz w:val="20"/>
              </w:rPr>
              <w:t>ADEMP</w:t>
            </w:r>
          </w:p>
        </w:tc>
        <w:tc>
          <w:tcPr>
            <w:tcW w:type="dxa" w:w="4680"/>
          </w:tcPr>
          <w:p>
            <w:r/>
            <w:r>
              <w:rPr>
                <w:rFonts w:ascii="Times New Roman" w:hAnsi="Times New Roman"/>
                <w:sz w:val="20"/>
              </w:rPr>
              <w:t>Aims, Data-generating mechanisms, Estimands, Methods, Performance measures</w:t>
            </w:r>
          </w:p>
        </w:tc>
      </w:tr>
      <w:tr>
        <w:tc>
          <w:tcPr>
            <w:tcW w:type="dxa" w:w="4680"/>
          </w:tcPr>
          <w:p>
            <w:r/>
            <w:r>
              <w:rPr>
                <w:rFonts w:ascii="Times New Roman" w:hAnsi="Times New Roman"/>
                <w:sz w:val="20"/>
              </w:rPr>
              <w:t>AMI</w:t>
            </w:r>
          </w:p>
        </w:tc>
        <w:tc>
          <w:tcPr>
            <w:tcW w:type="dxa" w:w="4680"/>
          </w:tcPr>
          <w:p>
            <w:r/>
            <w:r>
              <w:rPr>
                <w:rFonts w:ascii="Times New Roman" w:hAnsi="Times New Roman"/>
                <w:sz w:val="20"/>
              </w:rPr>
              <w:t>Acute myocardial infarction</w:t>
            </w:r>
          </w:p>
        </w:tc>
      </w:tr>
      <w:tr>
        <w:tc>
          <w:tcPr>
            <w:tcW w:type="dxa" w:w="4680"/>
          </w:tcPr>
          <w:p>
            <w:r/>
            <w:r>
              <w:rPr>
                <w:rFonts w:ascii="Times New Roman" w:hAnsi="Times New Roman"/>
                <w:sz w:val="20"/>
              </w:rPr>
              <w:t>CrI</w:t>
            </w:r>
          </w:p>
        </w:tc>
        <w:tc>
          <w:tcPr>
            <w:tcW w:type="dxa" w:w="4680"/>
          </w:tcPr>
          <w:p>
            <w:r/>
            <w:r>
              <w:rPr>
                <w:rFonts w:ascii="Times New Roman" w:hAnsi="Times New Roman"/>
                <w:sz w:val="20"/>
              </w:rPr>
              <w:t>Credible interval</w:t>
            </w:r>
          </w:p>
        </w:tc>
      </w:tr>
      <w:tr>
        <w:tc>
          <w:tcPr>
            <w:tcW w:type="dxa" w:w="4680"/>
          </w:tcPr>
          <w:p>
            <w:r/>
            <w:r>
              <w:rPr>
                <w:rFonts w:ascii="Times New Roman" w:hAnsi="Times New Roman"/>
                <w:sz w:val="20"/>
              </w:rPr>
              <w:t>CI</w:t>
            </w:r>
          </w:p>
        </w:tc>
        <w:tc>
          <w:tcPr>
            <w:tcW w:type="dxa" w:w="4680"/>
          </w:tcPr>
          <w:p>
            <w:r/>
            <w:r>
              <w:rPr>
                <w:rFonts w:ascii="Times New Roman" w:hAnsi="Times New Roman"/>
                <w:sz w:val="20"/>
              </w:rPr>
              <w:t>Confidence interval</w:t>
            </w:r>
          </w:p>
        </w:tc>
      </w:tr>
      <w:tr>
        <w:tc>
          <w:tcPr>
            <w:tcW w:type="dxa" w:w="4680"/>
          </w:tcPr>
          <w:p>
            <w:r/>
            <w:r>
              <w:rPr>
                <w:rFonts w:ascii="Times New Roman" w:hAnsi="Times New Roman"/>
                <w:sz w:val="20"/>
              </w:rPr>
              <w:t>EBM</w:t>
            </w:r>
          </w:p>
        </w:tc>
        <w:tc>
          <w:tcPr>
            <w:tcW w:type="dxa" w:w="4680"/>
          </w:tcPr>
          <w:p>
            <w:r/>
            <w:r>
              <w:rPr>
                <w:rFonts w:ascii="Times New Roman" w:hAnsi="Times New Roman"/>
                <w:sz w:val="20"/>
              </w:rPr>
              <w:t>Evidence-based medicine</w:t>
            </w:r>
          </w:p>
        </w:tc>
      </w:tr>
      <w:tr>
        <w:tc>
          <w:tcPr>
            <w:tcW w:type="dxa" w:w="4680"/>
          </w:tcPr>
          <w:p>
            <w:r/>
            <w:r>
              <w:rPr>
                <w:rFonts w:ascii="Times New Roman" w:hAnsi="Times New Roman"/>
                <w:sz w:val="20"/>
              </w:rPr>
              <w:t>GRADE</w:t>
            </w:r>
          </w:p>
        </w:tc>
        <w:tc>
          <w:tcPr>
            <w:tcW w:type="dxa" w:w="4680"/>
          </w:tcPr>
          <w:p>
            <w:r/>
            <w:r>
              <w:rPr>
                <w:rFonts w:ascii="Times New Roman" w:hAnsi="Times New Roman"/>
                <w:sz w:val="20"/>
              </w:rPr>
              <w:t>Grading of Recommendations Assessment, Development and Evaluation</w:t>
            </w:r>
          </w:p>
        </w:tc>
      </w:tr>
      <w:tr>
        <w:tc>
          <w:tcPr>
            <w:tcW w:type="dxa" w:w="4680"/>
          </w:tcPr>
          <w:p>
            <w:r/>
            <w:r>
              <w:rPr>
                <w:rFonts w:ascii="Times New Roman" w:hAnsi="Times New Roman"/>
                <w:sz w:val="20"/>
              </w:rPr>
              <w:t>HF</w:t>
            </w:r>
          </w:p>
        </w:tc>
        <w:tc>
          <w:tcPr>
            <w:tcW w:type="dxa" w:w="4680"/>
          </w:tcPr>
          <w:p>
            <w:r/>
            <w:r>
              <w:rPr>
                <w:rFonts w:ascii="Times New Roman" w:hAnsi="Times New Roman"/>
                <w:sz w:val="20"/>
              </w:rPr>
              <w:t>Heart failure</w:t>
            </w:r>
          </w:p>
        </w:tc>
      </w:tr>
      <w:tr>
        <w:tc>
          <w:tcPr>
            <w:tcW w:type="dxa" w:w="4680"/>
          </w:tcPr>
          <w:p>
            <w:r/>
            <w:r>
              <w:rPr>
                <w:rFonts w:ascii="Times New Roman" w:hAnsi="Times New Roman"/>
                <w:sz w:val="20"/>
              </w:rPr>
              <w:t>HR</w:t>
            </w:r>
          </w:p>
        </w:tc>
        <w:tc>
          <w:tcPr>
            <w:tcW w:type="dxa" w:w="4680"/>
          </w:tcPr>
          <w:p>
            <w:r/>
            <w:r>
              <w:rPr>
                <w:rFonts w:ascii="Times New Roman" w:hAnsi="Times New Roman"/>
                <w:sz w:val="20"/>
              </w:rPr>
              <w:t>Hazard ratio</w:t>
            </w:r>
          </w:p>
        </w:tc>
      </w:tr>
      <w:tr>
        <w:tc>
          <w:tcPr>
            <w:tcW w:type="dxa" w:w="4680"/>
          </w:tcPr>
          <w:p>
            <w:r/>
            <w:r>
              <w:rPr>
                <w:rFonts w:ascii="Times New Roman" w:hAnsi="Times New Roman"/>
                <w:sz w:val="20"/>
              </w:rPr>
              <w:t>KOTHA</w:t>
            </w:r>
          </w:p>
        </w:tc>
        <w:tc>
          <w:tcPr>
            <w:tcW w:type="dxa" w:w="4680"/>
          </w:tcPr>
          <w:p>
            <w:r/>
            <w:r>
              <w:rPr>
                <w:rFonts w:ascii="Times New Roman" w:hAnsi="Times New Roman"/>
                <w:sz w:val="20"/>
              </w:rPr>
              <w:t>Knowledge-driven Observational-Trial Harmonization Approach</w:t>
            </w:r>
          </w:p>
        </w:tc>
      </w:tr>
      <w:tr>
        <w:tc>
          <w:tcPr>
            <w:tcW w:type="dxa" w:w="4680"/>
          </w:tcPr>
          <w:p>
            <w:r/>
            <w:r>
              <w:rPr>
                <w:rFonts w:ascii="Times New Roman" w:hAnsi="Times New Roman"/>
                <w:sz w:val="20"/>
              </w:rPr>
              <w:t>MCMC</w:t>
            </w:r>
          </w:p>
        </w:tc>
        <w:tc>
          <w:tcPr>
            <w:tcW w:type="dxa" w:w="4680"/>
          </w:tcPr>
          <w:p>
            <w:r/>
            <w:r>
              <w:rPr>
                <w:rFonts w:ascii="Times New Roman" w:hAnsi="Times New Roman"/>
                <w:sz w:val="20"/>
              </w:rPr>
              <w:t>Markov chain Monte Carlo</w:t>
            </w:r>
          </w:p>
        </w:tc>
      </w:tr>
      <w:tr>
        <w:tc>
          <w:tcPr>
            <w:tcW w:type="dxa" w:w="4680"/>
          </w:tcPr>
          <w:p>
            <w:r/>
            <w:r>
              <w:rPr>
                <w:rFonts w:ascii="Times New Roman" w:hAnsi="Times New Roman"/>
                <w:sz w:val="20"/>
              </w:rPr>
              <w:t>OIS</w:t>
            </w:r>
          </w:p>
        </w:tc>
        <w:tc>
          <w:tcPr>
            <w:tcW w:type="dxa" w:w="4680"/>
          </w:tcPr>
          <w:p>
            <w:r/>
            <w:r>
              <w:rPr>
                <w:rFonts w:ascii="Times New Roman" w:hAnsi="Times New Roman"/>
                <w:sz w:val="20"/>
              </w:rPr>
              <w:t>Optimal information size</w:t>
            </w:r>
          </w:p>
        </w:tc>
      </w:tr>
      <w:tr>
        <w:tc>
          <w:tcPr>
            <w:tcW w:type="dxa" w:w="4680"/>
          </w:tcPr>
          <w:p>
            <w:r/>
            <w:r>
              <w:rPr>
                <w:rFonts w:ascii="Times New Roman" w:hAnsi="Times New Roman"/>
                <w:sz w:val="20"/>
              </w:rPr>
              <w:t>OR</w:t>
            </w:r>
          </w:p>
        </w:tc>
        <w:tc>
          <w:tcPr>
            <w:tcW w:type="dxa" w:w="4680"/>
          </w:tcPr>
          <w:p>
            <w:r/>
            <w:r>
              <w:rPr>
                <w:rFonts w:ascii="Times New Roman" w:hAnsi="Times New Roman"/>
                <w:sz w:val="20"/>
              </w:rPr>
              <w:t>Odds ratio</w:t>
            </w:r>
          </w:p>
        </w:tc>
      </w:tr>
      <w:tr>
        <w:tc>
          <w:tcPr>
            <w:tcW w:type="dxa" w:w="4680"/>
          </w:tcPr>
          <w:p>
            <w:r/>
            <w:r>
              <w:rPr>
                <w:rFonts w:ascii="Times New Roman" w:hAnsi="Times New Roman"/>
                <w:sz w:val="20"/>
              </w:rPr>
              <w:t>RCT</w:t>
            </w:r>
          </w:p>
        </w:tc>
        <w:tc>
          <w:tcPr>
            <w:tcW w:type="dxa" w:w="4680"/>
          </w:tcPr>
          <w:p>
            <w:r/>
            <w:r>
              <w:rPr>
                <w:rFonts w:ascii="Times New Roman" w:hAnsi="Times New Roman"/>
                <w:sz w:val="20"/>
              </w:rPr>
              <w:t>Randomized controlled trial</w:t>
            </w:r>
          </w:p>
        </w:tc>
      </w:tr>
      <w:tr>
        <w:tc>
          <w:tcPr>
            <w:tcW w:type="dxa" w:w="4680"/>
          </w:tcPr>
          <w:p>
            <w:r/>
            <w:r>
              <w:rPr>
                <w:rFonts w:ascii="Times New Roman" w:hAnsi="Times New Roman"/>
                <w:sz w:val="20"/>
              </w:rPr>
              <w:t>TSA</w:t>
            </w:r>
          </w:p>
        </w:tc>
        <w:tc>
          <w:tcPr>
            <w:tcW w:type="dxa" w:w="4680"/>
          </w:tcPr>
          <w:p>
            <w:r/>
            <w:r>
              <w:rPr>
                <w:rFonts w:ascii="Times New Roman" w:hAnsi="Times New Roman"/>
                <w:sz w:val="20"/>
              </w:rPr>
              <w:t>Trial sequential analysis</w:t>
            </w:r>
          </w:p>
        </w:tc>
      </w:tr>
    </w:tbl>
    <w:p>
      <w:pPr>
        <w:pStyle w:val="Heading2"/>
      </w:pPr>
      <w:r>
        <w:rPr>
          <w:color w:val="000000"/>
        </w:rPr>
        <w:t>Declarations</w:t>
      </w:r>
    </w:p>
    <w:p>
      <w:pPr>
        <w:pStyle w:val="Heading3"/>
      </w:pPr>
      <w:r>
        <w:rPr>
          <w:color w:val="000000"/>
        </w:rPr>
        <w:t>Ethics approval and consent to participate</w:t>
      </w:r>
    </w:p>
    <w:p>
      <w:r>
        <w:rPr>
          <w:rFonts w:ascii="Times New Roman" w:hAnsi="Times New Roman"/>
          <w:b w:val="0"/>
          <w:i w:val="0"/>
          <w:sz w:val="24"/>
        </w:rPr>
        <w:t>Not applicable. This study proposes a methodological framework and uses only published aggregate data for illustration.</w:t>
      </w:r>
    </w:p>
    <w:p>
      <w:pPr>
        <w:pStyle w:val="Heading3"/>
      </w:pPr>
      <w:r>
        <w:rPr>
          <w:color w:val="000000"/>
        </w:rPr>
        <w:t>Consent for publication</w:t>
      </w:r>
    </w:p>
    <w:p>
      <w:r>
        <w:rPr>
          <w:rFonts w:ascii="Times New Roman" w:hAnsi="Times New Roman"/>
          <w:b w:val="0"/>
          <w:i w:val="0"/>
          <w:sz w:val="24"/>
        </w:rPr>
        <w:t>Not applicable.</w:t>
      </w:r>
    </w:p>
    <w:p>
      <w:pPr>
        <w:pStyle w:val="Heading3"/>
      </w:pPr>
      <w:r>
        <w:rPr>
          <w:color w:val="000000"/>
        </w:rPr>
        <w:t>Availability of data and materials</w:t>
      </w:r>
    </w:p>
    <w:p>
      <w:r>
        <w:rPr>
          <w:rFonts w:ascii="Times New Roman" w:hAnsi="Times New Roman"/>
          <w:b w:val="0"/>
          <w:i w:val="0"/>
          <w:sz w:val="24"/>
        </w:rPr>
        <w:t>All data used in this study were extracted from published sources. The validation code (Python) is available as supplementary material. Software implementing the KOTHA Framework will be made available upon publication [repository URL to be determined].</w:t>
      </w:r>
    </w:p>
    <w:p>
      <w:pPr>
        <w:pStyle w:val="Heading3"/>
      </w:pPr>
      <w:r>
        <w:rPr>
          <w:color w:val="000000"/>
        </w:rPr>
        <w:t>Competing interests</w:t>
      </w:r>
    </w:p>
    <w:p>
      <w:r>
        <w:rPr>
          <w:rFonts w:ascii="Times New Roman" w:hAnsi="Times New Roman"/>
          <w:b w:val="0"/>
          <w:i w:val="0"/>
          <w:sz w:val="24"/>
        </w:rPr>
        <w:t>The authors declare that they have no competing interests.</w:t>
      </w:r>
    </w:p>
    <w:p>
      <w:pPr>
        <w:pStyle w:val="Heading3"/>
      </w:pPr>
      <w:r>
        <w:rPr>
          <w:color w:val="000000"/>
        </w:rPr>
        <w:t>Funding</w:t>
      </w:r>
    </w:p>
    <w:p>
      <w:r>
        <w:rPr>
          <w:rFonts w:ascii="Times New Roman" w:hAnsi="Times New Roman"/>
          <w:b w:val="0"/>
          <w:i w:val="0"/>
          <w:sz w:val="24"/>
        </w:rPr>
        <w:t>[To be determined]</w:t>
      </w:r>
    </w:p>
    <w:p>
      <w:pPr>
        <w:pStyle w:val="Heading3"/>
      </w:pPr>
      <w:r>
        <w:rPr>
          <w:color w:val="000000"/>
        </w:rPr>
        <w:t>Authors' contributions</w:t>
      </w:r>
    </w:p>
    <w:p>
      <w:r>
        <w:rPr>
          <w:rFonts w:ascii="Times New Roman" w:hAnsi="Times New Roman"/>
          <w:b w:val="0"/>
          <w:i w:val="0"/>
          <w:sz w:val="24"/>
        </w:rPr>
        <w:t>[To be determined]</w:t>
      </w:r>
    </w:p>
    <w:p>
      <w:pPr>
        <w:pStyle w:val="Heading3"/>
      </w:pPr>
      <w:r>
        <w:rPr>
          <w:color w:val="000000"/>
        </w:rPr>
        <w:t>Acknowledgements</w:t>
      </w:r>
    </w:p>
    <w:p>
      <w:r>
        <w:rPr>
          <w:rFonts w:ascii="Times New Roman" w:hAnsi="Times New Roman"/>
          <w:b w:val="0"/>
          <w:i w:val="0"/>
          <w:sz w:val="24"/>
        </w:rPr>
        <w:t>[To be determined]</w:t>
      </w:r>
    </w:p>
    <w:p>
      <w:pPr>
        <w:pStyle w:val="Heading2"/>
      </w:pPr>
      <w:r>
        <w:rPr>
          <w:color w:val="000000"/>
        </w:rPr>
        <w:t>References</w:t>
      </w:r>
    </w:p>
    <w:p>
      <w:r>
        <w:rPr>
          <w:rFonts w:ascii="Times New Roman" w:hAnsi="Times New Roman"/>
          <w:sz w:val="20"/>
        </w:rPr>
        <w:t>1. Guyatt GH, Oxman AD, Vist GE, Kunz R, Falck-Ytter Y, Alonso-Coello P, et al. GRADE: an emerging consensus on rating quality of evidence and strength of recommendations. BMJ. 2008;336(7650):924--6.</w:t>
      </w:r>
    </w:p>
    <w:p>
      <w:r>
        <w:rPr>
          <w:rFonts w:ascii="Times New Roman" w:hAnsi="Times New Roman"/>
          <w:sz w:val="20"/>
        </w:rPr>
        <w:t>2. Concato J, Shah N, Horwitz RI. Randomized, controlled trials, observational studies, and the hierarchy of research designs. N Engl J Med. 2000;342(25):1887--92.</w:t>
      </w:r>
    </w:p>
    <w:p>
      <w:r>
        <w:rPr>
          <w:rFonts w:ascii="Times New Roman" w:hAnsi="Times New Roman"/>
          <w:sz w:val="20"/>
        </w:rPr>
        <w:t>3. Anglemyer A, Horvath HT, Bero L. Healthcare outcomes assessed with observational study designs compared with those assessed in randomized trials. Cochrane Database Syst Rev. 2014;(4):MR000034.</w:t>
      </w:r>
    </w:p>
    <w:p>
      <w:r>
        <w:rPr>
          <w:rFonts w:ascii="Times New Roman" w:hAnsi="Times New Roman"/>
          <w:sz w:val="20"/>
        </w:rPr>
        <w:t>4. Kennedy-Martin T, Curtis S, Faries D, Robinson S, Johnston J. A literature review on the representativeness of randomized controlled trial samples and implications for the external validity of trial results. Trials. 2015;16:495.</w:t>
      </w:r>
    </w:p>
    <w:p>
      <w:r>
        <w:rPr>
          <w:rFonts w:ascii="Times New Roman" w:hAnsi="Times New Roman"/>
          <w:sz w:val="20"/>
        </w:rPr>
        <w:t>5. Rothwell PM. External validity of randomised controlled trials: "to whom do the results of this trial apply?" Lancet. 2005;365(9453):82--93.</w:t>
      </w:r>
    </w:p>
    <w:p>
      <w:r>
        <w:rPr>
          <w:rFonts w:ascii="Times New Roman" w:hAnsi="Times New Roman"/>
          <w:sz w:val="20"/>
        </w:rPr>
        <w:t>6. Pogue JM, Yusuf S. Cumulating evidence from randomized trials: utilizing sequential monitoring boundaries for cumulative meta-analysis. Control Clin Trials. 1997;18(6):580--93.</w:t>
      </w:r>
    </w:p>
    <w:p>
      <w:r>
        <w:rPr>
          <w:rFonts w:ascii="Times New Roman" w:hAnsi="Times New Roman"/>
          <w:sz w:val="20"/>
        </w:rPr>
        <w:t>7. Wetterslev J, Thorlund K, Brok J, Gluud C. Estimating required information size by quantifying diversity in random-effects model meta-analyses. BMC Med Res Methodol. 2009;9:86.</w:t>
      </w:r>
    </w:p>
    <w:p>
      <w:r>
        <w:rPr>
          <w:rFonts w:ascii="Times New Roman" w:hAnsi="Times New Roman"/>
          <w:sz w:val="20"/>
        </w:rPr>
        <w:t>8. Brok J, Thorlund K, Gluud C, Wetterslev J. Trial sequential analysis reveals insufficient information size and potentially false positive results in many meta-analyses. J Clin Epidemiol. 2008;61(8):763--9.</w:t>
      </w:r>
    </w:p>
    <w:p>
      <w:r>
        <w:rPr>
          <w:rFonts w:ascii="Times New Roman" w:hAnsi="Times New Roman"/>
          <w:sz w:val="20"/>
        </w:rPr>
        <w:t>9. Thorlund K, Engstrom J, Wetterslev J, Brok J, Imberger G, Gluud C. User manual for trial sequential analysis (TSA). Copenhagen Trial Unit, Centre for Clinical Intervention Research; 2011.</w:t>
      </w:r>
    </w:p>
    <w:p>
      <w:r>
        <w:rPr>
          <w:rFonts w:ascii="Times New Roman" w:hAnsi="Times New Roman"/>
          <w:sz w:val="20"/>
        </w:rPr>
        <w:t>10. Morris TP, White IR, Crowther MJ. Using simulation studies to evaluate statistical methods. Stat Med. 2019;38(11):2074--102.</w:t>
      </w:r>
    </w:p>
    <w:p>
      <w:r>
        <w:rPr>
          <w:rFonts w:ascii="Times New Roman" w:hAnsi="Times New Roman"/>
          <w:sz w:val="20"/>
        </w:rPr>
        <w:t>11. McCaw ZR, Yin G, Wei LJ. Using the restricted mean survival time difference as an alternative to the hazard ratio for analyzing clinical cardiovascular studies. Circulation. 2019;140(17):1366--8. doi:10.1161/CIRCULATIONAHA.119.040680.</w:t>
      </w:r>
    </w:p>
    <w:p>
      <w:r>
        <w:rPr>
          <w:rFonts w:ascii="Times New Roman" w:hAnsi="Times New Roman"/>
          <w:sz w:val="20"/>
        </w:rPr>
        <w:t>12. Boyd AP, Kittelson JM, Gillen DL. Estimation of treatment effect under non-proportional hazards and conditionally independent censoring. Stat Med. 2012;31(28):3504--15. doi:10.1002/sim.5440.</w:t>
      </w:r>
    </w:p>
    <w:p>
      <w:r>
        <w:rPr>
          <w:rFonts w:ascii="Times New Roman" w:hAnsi="Times New Roman"/>
          <w:sz w:val="20"/>
        </w:rPr>
        <w:t>13. Benson K, Hartz AJ. A comparison of observational studies and randomized, controlled trials. N Engl J Med. 2000;342(25):1878--86.</w:t>
      </w:r>
    </w:p>
    <w:p>
      <w:r>
        <w:rPr>
          <w:rFonts w:ascii="Times New Roman" w:hAnsi="Times New Roman"/>
          <w:sz w:val="20"/>
        </w:rPr>
        <w:t>14. Ioannidis JP, Haidich AB, Pappa M, Pantazis N, Kokori SI, Tektonidou MG, et al. Comparison of evidence of treatment effects in randomized and nonrandomized studies. JAMA. 2001;286(7):821--30.</w:t>
      </w:r>
    </w:p>
    <w:p>
      <w:r>
        <w:rPr>
          <w:rFonts w:ascii="Times New Roman" w:hAnsi="Times New Roman"/>
          <w:sz w:val="20"/>
        </w:rPr>
        <w:t>15. Sherry AD, Msaouel P, Kupferman GS, Lin TA, Abi Jaoude J, Kouzy R, et al. Evidence-based prior for estimating the treatment effect of phase III randomized trials in oncology. JCO Precis Oncol. 2024;8:e2400363. doi:10.1200/PO.24.00363.</w:t>
      </w:r>
    </w:p>
    <w:p>
      <w:r>
        <w:rPr>
          <w:rFonts w:ascii="Times New Roman" w:hAnsi="Times New Roman"/>
          <w:sz w:val="20"/>
        </w:rPr>
        <w:t>16. Ibrahim JG, Chen MH. Power prior distributions for regression models. Stat Sci. 2000;15(1):46--60.</w:t>
      </w:r>
    </w:p>
    <w:p>
      <w:r>
        <w:rPr>
          <w:rFonts w:ascii="Times New Roman" w:hAnsi="Times New Roman"/>
          <w:sz w:val="20"/>
        </w:rPr>
        <w:t>17. Schoenfeld DA. Sample-size formula for the proportional-hazards regression model. Biometrics. 1983;39(2):499--503.</w:t>
      </w:r>
    </w:p>
    <w:p>
      <w:r>
        <w:rPr>
          <w:rFonts w:ascii="Times New Roman" w:hAnsi="Times New Roman"/>
          <w:sz w:val="20"/>
        </w:rPr>
        <w:t>18. Teo KK, Yusuf S, Collins R, Held PH, Peto R. Effects of intravenous magnesium in suspected acute myocardial infarction: overview of randomised trials. BMJ. 1991;303(6816):1499--503.</w:t>
      </w:r>
    </w:p>
    <w:p>
      <w:r>
        <w:rPr>
          <w:rFonts w:ascii="Times New Roman" w:hAnsi="Times New Roman"/>
          <w:sz w:val="20"/>
        </w:rPr>
        <w:t>19. Li J, Zhang Q, Zhang M, Egger M. Intravenous magnesium for acute myocardial infarction. Cochrane Database Syst Rev. 2007;(2):CD002755.</w:t>
      </w:r>
    </w:p>
    <w:p>
      <w:r>
        <w:rPr>
          <w:rFonts w:ascii="Times New Roman" w:hAnsi="Times New Roman"/>
          <w:sz w:val="20"/>
        </w:rPr>
        <w:t>20. Anker SD, Clark AL, Winkler R, Zugck C, Cicoira M, Haehling S, et al. Statin use and survival in patients with chronic heart failure --- results from two observational studies with 5200 patients. Int J Cardiol. 2006;112(2):234--42.</w:t>
      </w:r>
    </w:p>
    <w:p>
      <w:r>
        <w:rPr>
          <w:rFonts w:ascii="Times New Roman" w:hAnsi="Times New Roman"/>
          <w:sz w:val="20"/>
        </w:rPr>
        <w:t>21. Kjekshus J, Apetrei E, Barrios V, Bohm M, Cleland JG, Cornel JH, et al. Rosuvastatin in older patients with systolic heart failure. N Engl J Med. 2007;357(22):2248--61.</w:t>
      </w:r>
    </w:p>
    <w:p>
      <w:r>
        <w:rPr>
          <w:rFonts w:ascii="Times New Roman" w:hAnsi="Times New Roman"/>
          <w:sz w:val="20"/>
        </w:rPr>
        <w:t>22. GISSI-HF Investigators. Effect of rosuvastatin in patients with chronic heart failure (the GISSI-HF trial): a randomised, double-blind, placebo-controlled trial. Lancet. 2008;372(9645):1231--9.</w:t>
      </w:r>
    </w:p>
    <w:p>
      <w:r>
        <w:rPr>
          <w:rFonts w:ascii="Times New Roman" w:hAnsi="Times New Roman"/>
          <w:sz w:val="20"/>
        </w:rPr>
        <w:t>23. Mozaffarian D, Nye R, Levy WC. Statin therapy is associated with lower mortality among patients with severe heart failure. Am J Cardiol. 2004;93(9):1124--9.</w:t>
      </w:r>
    </w:p>
    <w:p>
      <w:r>
        <w:rPr>
          <w:rFonts w:ascii="Times New Roman" w:hAnsi="Times New Roman"/>
          <w:sz w:val="20"/>
        </w:rPr>
        <w:t>24. Horwich TB, MacLellan WR, Fonarow GC. Statin therapy is associated with improved survival in ischemic and non-ischemic heart failure. J Am Coll Cardiol. 2004;43(4):642--8.</w:t>
      </w:r>
    </w:p>
    <w:p>
      <w:r>
        <w:rPr>
          <w:rFonts w:ascii="Times New Roman" w:hAnsi="Times New Roman"/>
          <w:sz w:val="20"/>
        </w:rPr>
        <w:t>25. Go AS, Lee WY, Yang J, Lo JC, Gurwitz JH. Statin therapy and risks for death and hospitalization in chronic heart failure. JAMA. 2006;296(17):2105--11.</w:t>
      </w:r>
    </w:p>
    <w:p>
      <w:r>
        <w:rPr>
          <w:rFonts w:ascii="Times New Roman" w:hAnsi="Times New Roman"/>
          <w:sz w:val="20"/>
        </w:rPr>
        <w:t>26. Foody JM, Shah R, Galusha D, Masoudi FA, Havranek EP, Krumholz HM. Statins and mortality among elderly patients hospitalized with heart failure. Circulation. 2006;113(8):1086--92.</w:t>
      </w:r>
    </w:p>
    <w:p>
      <w:r>
        <w:rPr>
          <w:rFonts w:ascii="Times New Roman" w:hAnsi="Times New Roman"/>
          <w:sz w:val="20"/>
        </w:rPr>
        <w:t>27. Hernan MA, Robins JM. Using big data to emulate a target trial when a randomized trial is not available. Am J Epidemiol. 2016;183(8):758--64.</w:t>
      </w:r>
    </w:p>
    <w:p>
      <w:r>
        <w:rPr>
          <w:rFonts w:ascii="Times New Roman" w:hAnsi="Times New Roman"/>
          <w:sz w:val="20"/>
        </w:rPr>
        <w:t>28. Hernan MA, Wang W, Leaf DE. Target trial emulation: a framework for causal inference from observational data. JAMA. 2022;328(24):2446--7.</w:t>
      </w:r>
    </w:p>
    <w:p>
      <w:r>
        <w:rPr>
          <w:rFonts w:ascii="Times New Roman" w:hAnsi="Times New Roman"/>
          <w:sz w:val="20"/>
        </w:rPr>
        <w:t>29. Schmidli H, Gsteiger S, Roychoudhury S, O'Hagan A, Spiegelhalter D, Neuenschwander B. Robust meta-analytic-predictive priors in clinical trials with historical control information. Biometrics. 2014;70(4):1023--32.</w:t>
      </w:r>
    </w:p>
    <w:p>
      <w:r>
        <w:rPr>
          <w:rFonts w:ascii="Times New Roman" w:hAnsi="Times New Roman"/>
          <w:sz w:val="20"/>
        </w:rPr>
        <w:t>30. Verde PE, Ohmann C. Combining randomized and non-randomized evidence in clinical research: a review of methods and applications. Res Synth Methods. 2015;6(1):45--62.</w:t>
      </w:r>
    </w:p>
    <w:p>
      <w:r>
        <w:rPr>
          <w:rFonts w:ascii="Times New Roman" w:hAnsi="Times New Roman"/>
          <w:sz w:val="20"/>
        </w:rPr>
        <w:t>31. Efthimiou O, Mavridis D, Debray TPA, Samara M, Belger M, Salanti G, et al. Combining randomized and non-randomized evidence in network meta-analysis. Stat Med. 2017;36(8):1210--26.</w:t>
      </w:r>
    </w:p>
    <w:p>
      <w:pPr>
        <w:pStyle w:val="Heading2"/>
      </w:pPr>
      <w:r>
        <w:rPr>
          <w:color w:val="000000"/>
        </w:rPr>
        <w:t>Tables</w:t>
      </w:r>
    </w:p>
    <w:p>
      <w:r>
        <w:rPr>
          <w:rFonts w:ascii="Times New Roman" w:hAnsi="Times New Roman"/>
          <w:b/>
          <w:i w:val="0"/>
          <w:sz w:val="24"/>
        </w:rPr>
        <w:t>Table 1: Existing approaches to mitigate event dilution in RCTs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0"/>
              </w:rPr>
              <w:t>Approach</w:t>
            </w:r>
          </w:p>
        </w:tc>
        <w:tc>
          <w:tcPr>
            <w:tcW w:type="dxa" w:w="3120"/>
          </w:tcPr>
          <w:p>
            <w:r/>
            <w:r>
              <w:rPr>
                <w:rFonts w:ascii="Times New Roman" w:hAnsi="Times New Roman"/>
                <w:b/>
                <w:sz w:val="20"/>
              </w:rPr>
              <w:t>Mechanism</w:t>
            </w:r>
          </w:p>
        </w:tc>
        <w:tc>
          <w:tcPr>
            <w:tcW w:type="dxa" w:w="3120"/>
          </w:tcPr>
          <w:p>
            <w:r/>
            <w:r>
              <w:rPr>
                <w:rFonts w:ascii="Times New Roman" w:hAnsi="Times New Roman"/>
                <w:b/>
                <w:sz w:val="20"/>
              </w:rPr>
              <w:t>Adoption level</w:t>
            </w:r>
          </w:p>
        </w:tc>
      </w:tr>
      <w:tr>
        <w:tc>
          <w:tcPr>
            <w:tcW w:type="dxa" w:w="3120"/>
          </w:tcPr>
          <w:p>
            <w:r/>
            <w:r>
              <w:rPr>
                <w:rFonts w:ascii="Times New Roman" w:hAnsi="Times New Roman"/>
                <w:sz w:val="20"/>
              </w:rPr>
              <w:t>Stratified randomization</w:t>
            </w:r>
          </w:p>
        </w:tc>
        <w:tc>
          <w:tcPr>
            <w:tcW w:type="dxa" w:w="3120"/>
          </w:tcPr>
          <w:p>
            <w:r/>
            <w:r>
              <w:rPr>
                <w:rFonts w:ascii="Times New Roman" w:hAnsi="Times New Roman"/>
                <w:sz w:val="20"/>
              </w:rPr>
              <w:t>Risk-based stratification of randomization and analysis</w:t>
            </w:r>
          </w:p>
        </w:tc>
        <w:tc>
          <w:tcPr>
            <w:tcW w:type="dxa" w:w="3120"/>
          </w:tcPr>
          <w:p>
            <w:r/>
            <w:r>
              <w:rPr>
                <w:rFonts w:ascii="Times New Roman" w:hAnsi="Times New Roman"/>
                <w:sz w:val="20"/>
              </w:rPr>
              <w:t>Common for basic strata; rare for event-rate-driven strata</w:t>
            </w:r>
          </w:p>
        </w:tc>
      </w:tr>
      <w:tr>
        <w:tc>
          <w:tcPr>
            <w:tcW w:type="dxa" w:w="3120"/>
          </w:tcPr>
          <w:p>
            <w:r/>
            <w:r>
              <w:rPr>
                <w:rFonts w:ascii="Times New Roman" w:hAnsi="Times New Roman"/>
                <w:sz w:val="20"/>
              </w:rPr>
              <w:t>Prognostic enrichment</w:t>
            </w:r>
          </w:p>
        </w:tc>
        <w:tc>
          <w:tcPr>
            <w:tcW w:type="dxa" w:w="3120"/>
          </w:tcPr>
          <w:p>
            <w:r/>
            <w:r>
              <w:rPr>
                <w:rFonts w:ascii="Times New Roman" w:hAnsi="Times New Roman"/>
                <w:sz w:val="20"/>
              </w:rPr>
              <w:t>Intentional enrollment of high-risk patients to increase event rates</w:t>
            </w:r>
          </w:p>
        </w:tc>
        <w:tc>
          <w:tcPr>
            <w:tcW w:type="dxa" w:w="3120"/>
          </w:tcPr>
          <w:p>
            <w:r/>
            <w:r>
              <w:rPr>
                <w:rFonts w:ascii="Times New Roman" w:hAnsi="Times New Roman"/>
                <w:sz w:val="20"/>
              </w:rPr>
              <w:t>Endorsed by FDA and EMA guidance; limited in non-drug trials</w:t>
            </w:r>
          </w:p>
        </w:tc>
      </w:tr>
      <w:tr>
        <w:tc>
          <w:tcPr>
            <w:tcW w:type="dxa" w:w="3120"/>
          </w:tcPr>
          <w:p>
            <w:r/>
            <w:r>
              <w:rPr>
                <w:rFonts w:ascii="Times New Roman" w:hAnsi="Times New Roman"/>
                <w:sz w:val="20"/>
              </w:rPr>
              <w:t>Event-driven design</w:t>
            </w:r>
          </w:p>
        </w:tc>
        <w:tc>
          <w:tcPr>
            <w:tcW w:type="dxa" w:w="3120"/>
          </w:tcPr>
          <w:p>
            <w:r/>
            <w:r>
              <w:rPr>
                <w:rFonts w:ascii="Times New Roman" w:hAnsi="Times New Roman"/>
                <w:sz w:val="20"/>
              </w:rPr>
              <w:t>Continue enrollment/follow-up until target event count is reached</w:t>
            </w:r>
          </w:p>
        </w:tc>
        <w:tc>
          <w:tcPr>
            <w:tcW w:type="dxa" w:w="3120"/>
          </w:tcPr>
          <w:p>
            <w:r/>
            <w:r>
              <w:rPr>
                <w:rFonts w:ascii="Times New Roman" w:hAnsi="Times New Roman"/>
                <w:sz w:val="20"/>
              </w:rPr>
              <w:t>Common in cardiology and oncology; rare in other specialties</w:t>
            </w:r>
          </w:p>
        </w:tc>
      </w:tr>
      <w:tr>
        <w:tc>
          <w:tcPr>
            <w:tcW w:type="dxa" w:w="3120"/>
          </w:tcPr>
          <w:p>
            <w:r/>
            <w:r>
              <w:rPr>
                <w:rFonts w:ascii="Times New Roman" w:hAnsi="Times New Roman"/>
                <w:sz w:val="20"/>
              </w:rPr>
              <w:t>Adaptive sample size re-estimation</w:t>
            </w:r>
          </w:p>
        </w:tc>
        <w:tc>
          <w:tcPr>
            <w:tcW w:type="dxa" w:w="3120"/>
          </w:tcPr>
          <w:p>
            <w:r/>
            <w:r>
              <w:rPr>
                <w:rFonts w:ascii="Times New Roman" w:hAnsi="Times New Roman"/>
                <w:sz w:val="20"/>
              </w:rPr>
              <w:t>Mid-trial re-estimation of required sample size based on observed event rates</w:t>
            </w:r>
          </w:p>
        </w:tc>
        <w:tc>
          <w:tcPr>
            <w:tcW w:type="dxa" w:w="3120"/>
          </w:tcPr>
          <w:p>
            <w:r/>
            <w:r>
              <w:rPr>
                <w:rFonts w:ascii="Times New Roman" w:hAnsi="Times New Roman"/>
                <w:sz w:val="20"/>
              </w:rPr>
              <w:t>Statistically powerful; regulatory complexity limits adoption</w:t>
            </w:r>
          </w:p>
        </w:tc>
      </w:tr>
      <w:tr>
        <w:tc>
          <w:tcPr>
            <w:tcW w:type="dxa" w:w="3120"/>
          </w:tcPr>
          <w:p>
            <w:r/>
            <w:r>
              <w:rPr>
                <w:rFonts w:ascii="Times New Roman" w:hAnsi="Times New Roman"/>
                <w:sz w:val="20"/>
              </w:rPr>
              <w:t>External data-informed design</w:t>
            </w:r>
          </w:p>
        </w:tc>
        <w:tc>
          <w:tcPr>
            <w:tcW w:type="dxa" w:w="3120"/>
          </w:tcPr>
          <w:p>
            <w:r/>
            <w:r>
              <w:rPr>
                <w:rFonts w:ascii="Times New Roman" w:hAnsi="Times New Roman"/>
                <w:sz w:val="20"/>
              </w:rPr>
              <w:t>Use retrospective data prospectively to quantify expected event loss and adjust design</w:t>
            </w:r>
          </w:p>
        </w:tc>
        <w:tc>
          <w:tcPr>
            <w:tcW w:type="dxa" w:w="3120"/>
          </w:tcPr>
          <w:p>
            <w:r/>
            <w:r>
              <w:rPr>
                <w:rFonts w:ascii="Times New Roman" w:hAnsi="Times New Roman"/>
                <w:sz w:val="20"/>
              </w:rPr>
              <w:t>Ideal but very rare in practice</w:t>
            </w:r>
          </w:p>
        </w:tc>
      </w:tr>
      <w:tr>
        <w:tc>
          <w:tcPr>
            <w:tcW w:type="dxa" w:w="3120"/>
          </w:tcPr>
          <w:p>
            <w:r/>
            <w:r>
              <w:rPr>
                <w:rFonts w:ascii="Times New Roman" w:hAnsi="Times New Roman"/>
                <w:sz w:val="20"/>
              </w:rPr>
              <w:t>Pragmatic / registry-based trials</w:t>
            </w:r>
          </w:p>
        </w:tc>
        <w:tc>
          <w:tcPr>
            <w:tcW w:type="dxa" w:w="3120"/>
          </w:tcPr>
          <w:p>
            <w:r/>
            <w:r>
              <w:rPr>
                <w:rFonts w:ascii="Times New Roman" w:hAnsi="Times New Roman"/>
                <w:sz w:val="20"/>
              </w:rPr>
              <w:t>Broad eligibility, minimal exclusions, real-world enrollment</w:t>
            </w:r>
          </w:p>
        </w:tc>
        <w:tc>
          <w:tcPr>
            <w:tcW w:type="dxa" w:w="3120"/>
          </w:tcPr>
          <w:p>
            <w:r/>
            <w:r>
              <w:rPr>
                <w:rFonts w:ascii="Times New Roman" w:hAnsi="Times New Roman"/>
                <w:sz w:val="20"/>
              </w:rPr>
              <w:t>Growing (e.g., REMAP-CAP, RECOVERY) but not yet standard</w:t>
            </w:r>
          </w:p>
        </w:tc>
      </w:tr>
    </w:tbl>
    <w:p>
      <w:r>
        <w:rPr>
          <w:rFonts w:ascii="Times New Roman" w:hAnsi="Times New Roman"/>
          <w:b/>
          <w:i w:val="0"/>
          <w:sz w:val="24"/>
        </w:rPr>
        <w:t>Table 2: Module H assessment checklist mapped to GRADE domains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b/>
                <w:sz w:val="20"/>
              </w:rPr>
              <w:t>Module H assessment</w:t>
            </w:r>
          </w:p>
        </w:tc>
        <w:tc>
          <w:tcPr>
            <w:tcW w:type="dxa" w:w="2340"/>
          </w:tcPr>
          <w:p>
            <w:r/>
            <w:r>
              <w:rPr>
                <w:rFonts w:ascii="Times New Roman" w:hAnsi="Times New Roman"/>
                <w:b/>
                <w:sz w:val="20"/>
              </w:rPr>
              <w:t>GRADE domain</w:t>
            </w:r>
          </w:p>
        </w:tc>
        <w:tc>
          <w:tcPr>
            <w:tcW w:type="dxa" w:w="2340"/>
          </w:tcPr>
          <w:p>
            <w:r/>
            <w:r>
              <w:rPr>
                <w:rFonts w:ascii="Times New Roman" w:hAnsi="Times New Roman"/>
                <w:b/>
                <w:sz w:val="20"/>
              </w:rPr>
              <w:t>Analytical tool</w:t>
            </w:r>
          </w:p>
        </w:tc>
        <w:tc>
          <w:tcPr>
            <w:tcW w:type="dxa" w:w="2340"/>
          </w:tcPr>
          <w:p>
            <w:r/>
            <w:r>
              <w:rPr>
                <w:rFonts w:ascii="Times New Roman" w:hAnsi="Times New Roman"/>
                <w:b/>
                <w:sz w:val="20"/>
              </w:rPr>
              <w:t>Decision criterion</w:t>
            </w:r>
          </w:p>
        </w:tc>
      </w:tr>
      <w:tr>
        <w:tc>
          <w:tcPr>
            <w:tcW w:type="dxa" w:w="2340"/>
          </w:tcPr>
          <w:p>
            <w:r/>
            <w:r>
              <w:rPr>
                <w:rFonts w:ascii="Times New Roman" w:hAnsi="Times New Roman"/>
                <w:sz w:val="20"/>
              </w:rPr>
              <w:t>Information sufficiency</w:t>
            </w:r>
          </w:p>
        </w:tc>
        <w:tc>
          <w:tcPr>
            <w:tcW w:type="dxa" w:w="2340"/>
          </w:tcPr>
          <w:p>
            <w:r/>
            <w:r>
              <w:rPr>
                <w:rFonts w:ascii="Times New Roman" w:hAnsi="Times New Roman"/>
                <w:sz w:val="20"/>
              </w:rPr>
              <w:t>Imprecision</w:t>
            </w:r>
          </w:p>
        </w:tc>
        <w:tc>
          <w:tcPr>
            <w:tcW w:type="dxa" w:w="2340"/>
          </w:tcPr>
          <w:p>
            <w:r/>
            <w:r>
              <w:rPr>
                <w:rFonts w:ascii="Times New Roman" w:hAnsi="Times New Roman"/>
                <w:sz w:val="20"/>
              </w:rPr>
              <w:t>OIS calculation</w:t>
            </w:r>
          </w:p>
        </w:tc>
        <w:tc>
          <w:tcPr>
            <w:tcW w:type="dxa" w:w="2340"/>
          </w:tcPr>
          <w:p>
            <w:r/>
            <w:r>
              <w:rPr>
                <w:rFonts w:ascii="Times New Roman" w:hAnsi="Times New Roman"/>
                <w:sz w:val="20"/>
              </w:rPr>
              <w:t>Total events &lt; OIS: informationally insufficient</w:t>
            </w:r>
          </w:p>
        </w:tc>
      </w:tr>
      <w:tr>
        <w:tc>
          <w:tcPr>
            <w:tcW w:type="dxa" w:w="2340"/>
          </w:tcPr>
          <w:p>
            <w:r/>
            <w:r>
              <w:rPr>
                <w:rFonts w:ascii="Times New Roman" w:hAnsi="Times New Roman"/>
                <w:sz w:val="20"/>
              </w:rPr>
              <w:t>CI assessment</w:t>
            </w:r>
          </w:p>
        </w:tc>
        <w:tc>
          <w:tcPr>
            <w:tcW w:type="dxa" w:w="2340"/>
          </w:tcPr>
          <w:p>
            <w:r/>
            <w:r>
              <w:rPr>
                <w:rFonts w:ascii="Times New Roman" w:hAnsi="Times New Roman"/>
                <w:sz w:val="20"/>
              </w:rPr>
              <w:t>Imprecision</w:t>
            </w:r>
          </w:p>
        </w:tc>
        <w:tc>
          <w:tcPr>
            <w:tcW w:type="dxa" w:w="2340"/>
          </w:tcPr>
          <w:p>
            <w:r/>
            <w:r>
              <w:rPr>
                <w:rFonts w:ascii="Times New Roman" w:hAnsi="Times New Roman"/>
                <w:sz w:val="20"/>
              </w:rPr>
              <w:t>CI inspection</w:t>
            </w:r>
          </w:p>
        </w:tc>
        <w:tc>
          <w:tcPr>
            <w:tcW w:type="dxa" w:w="2340"/>
          </w:tcPr>
          <w:p>
            <w:r/>
            <w:r>
              <w:rPr>
                <w:rFonts w:ascii="Times New Roman" w:hAnsi="Times New Roman"/>
                <w:sz w:val="20"/>
              </w:rPr>
              <w:t>CI spans benefit through null: inconclusive</w:t>
            </w:r>
          </w:p>
        </w:tc>
      </w:tr>
      <w:tr>
        <w:tc>
          <w:tcPr>
            <w:tcW w:type="dxa" w:w="2340"/>
          </w:tcPr>
          <w:p>
            <w:r/>
            <w:r>
              <w:rPr>
                <w:rFonts w:ascii="Times New Roman" w:hAnsi="Times New Roman"/>
                <w:sz w:val="20"/>
              </w:rPr>
              <w:t>Representativeness</w:t>
            </w:r>
          </w:p>
        </w:tc>
        <w:tc>
          <w:tcPr>
            <w:tcW w:type="dxa" w:w="2340"/>
          </w:tcPr>
          <w:p>
            <w:r/>
            <w:r>
              <w:rPr>
                <w:rFonts w:ascii="Times New Roman" w:hAnsi="Times New Roman"/>
                <w:sz w:val="20"/>
              </w:rPr>
              <w:t>Indirectness</w:t>
            </w:r>
          </w:p>
        </w:tc>
        <w:tc>
          <w:tcPr>
            <w:tcW w:type="dxa" w:w="2340"/>
          </w:tcPr>
          <w:p>
            <w:r/>
            <w:r>
              <w:rPr>
                <w:rFonts w:ascii="Times New Roman" w:hAnsi="Times New Roman"/>
                <w:sz w:val="20"/>
              </w:rPr>
              <w:t>Module K event rate ratio</w:t>
            </w:r>
          </w:p>
        </w:tc>
        <w:tc>
          <w:tcPr>
            <w:tcW w:type="dxa" w:w="2340"/>
          </w:tcPr>
          <w:p>
            <w:r/>
            <w:r>
              <w:rPr>
                <w:rFonts w:ascii="Times New Roman" w:hAnsi="Times New Roman"/>
                <w:sz w:val="20"/>
              </w:rPr>
              <w:t>Event rate ratio &gt; 1.5: serious indirectness</w:t>
            </w:r>
          </w:p>
        </w:tc>
      </w:tr>
      <w:tr>
        <w:tc>
          <w:tcPr>
            <w:tcW w:type="dxa" w:w="2340"/>
          </w:tcPr>
          <w:p>
            <w:r/>
            <w:r>
              <w:rPr>
                <w:rFonts w:ascii="Times New Roman" w:hAnsi="Times New Roman"/>
                <w:sz w:val="20"/>
              </w:rPr>
              <w:t>TSA</w:t>
            </w:r>
          </w:p>
        </w:tc>
        <w:tc>
          <w:tcPr>
            <w:tcW w:type="dxa" w:w="2340"/>
          </w:tcPr>
          <w:p>
            <w:r/>
            <w:r>
              <w:rPr>
                <w:rFonts w:ascii="Times New Roman" w:hAnsi="Times New Roman"/>
                <w:sz w:val="20"/>
              </w:rPr>
              <w:t>Imprecision</w:t>
            </w:r>
          </w:p>
        </w:tc>
        <w:tc>
          <w:tcPr>
            <w:tcW w:type="dxa" w:w="2340"/>
          </w:tcPr>
          <w:p>
            <w:r/>
            <w:r>
              <w:rPr>
                <w:rFonts w:ascii="Times New Roman" w:hAnsi="Times New Roman"/>
                <w:sz w:val="20"/>
              </w:rPr>
              <w:t>Sequential monitoring boundaries</w:t>
            </w:r>
          </w:p>
        </w:tc>
        <w:tc>
          <w:tcPr>
            <w:tcW w:type="dxa" w:w="2340"/>
          </w:tcPr>
          <w:p>
            <w:r/>
            <w:r>
              <w:rPr>
                <w:rFonts w:ascii="Times New Roman" w:hAnsi="Times New Roman"/>
                <w:sz w:val="20"/>
              </w:rPr>
              <w:t>Boundaries not crossed: interim analysis equivalent</w:t>
            </w:r>
          </w:p>
        </w:tc>
      </w:tr>
      <w:tr>
        <w:tc>
          <w:tcPr>
            <w:tcW w:type="dxa" w:w="2340"/>
          </w:tcPr>
          <w:p>
            <w:r/>
            <w:r>
              <w:rPr>
                <w:rFonts w:ascii="Times New Roman" w:hAnsi="Times New Roman"/>
                <w:sz w:val="20"/>
              </w:rPr>
              <w:t>Recommendation language</w:t>
            </w:r>
          </w:p>
        </w:tc>
        <w:tc>
          <w:tcPr>
            <w:tcW w:type="dxa" w:w="2340"/>
          </w:tcPr>
          <w:p>
            <w:r/>
            <w:r>
              <w:rPr>
                <w:rFonts w:ascii="Times New Roman" w:hAnsi="Times New Roman"/>
                <w:sz w:val="20"/>
              </w:rPr>
              <w:t>Overall assessment</w:t>
            </w:r>
          </w:p>
        </w:tc>
        <w:tc>
          <w:tcPr>
            <w:tcW w:type="dxa" w:w="2340"/>
          </w:tcPr>
          <w:p>
            <w:r/>
            <w:r>
              <w:rPr>
                <w:rFonts w:ascii="Times New Roman" w:hAnsi="Times New Roman"/>
                <w:sz w:val="20"/>
              </w:rPr>
              <w:t>Standardized templates</w:t>
            </w:r>
          </w:p>
        </w:tc>
        <w:tc>
          <w:tcPr>
            <w:tcW w:type="dxa" w:w="2340"/>
          </w:tcPr>
          <w:p>
            <w:r/>
            <w:r>
              <w:rPr>
                <w:rFonts w:ascii="Times New Roman" w:hAnsi="Times New Roman"/>
                <w:sz w:val="20"/>
              </w:rPr>
              <w:t>Tailored to information sufficiency classification</w:t>
            </w:r>
          </w:p>
        </w:tc>
      </w:tr>
    </w:tbl>
    <w:p>
      <w:pPr>
        <w:pStyle w:val="Heading2"/>
      </w:pPr>
      <w:r>
        <w:rPr>
          <w:color w:val="000000"/>
        </w:rPr>
        <w:t>Figures</w:t>
      </w:r>
    </w:p>
    <w:p>
      <w:pPr>
        <w:jc w:val="center"/>
      </w:pPr>
      <w:r>
        <w:drawing>
          <wp:inline xmlns:a="http://schemas.openxmlformats.org/drawingml/2006/main" xmlns:pic="http://schemas.openxmlformats.org/drawingml/2006/picture">
            <wp:extent cx="5029200" cy="3536255"/>
            <wp:docPr id="1" name="Picture 1"/>
            <wp:cNvGraphicFramePr>
              <a:graphicFrameLocks noChangeAspect="1"/>
            </wp:cNvGraphicFramePr>
            <a:graphic>
              <a:graphicData uri="http://schemas.openxmlformats.org/drawingml/2006/picture">
                <pic:pic>
                  <pic:nvPicPr>
                    <pic:cNvPr id="0" name="fig1_framework_overview.png"/>
                    <pic:cNvPicPr/>
                  </pic:nvPicPr>
                  <pic:blipFill>
                    <a:blip r:embed="rId9"/>
                    <a:stretch>
                      <a:fillRect/>
                    </a:stretch>
                  </pic:blipFill>
                  <pic:spPr>
                    <a:xfrm>
                      <a:off x="0" y="0"/>
                      <a:ext cx="5029200" cy="3536255"/>
                    </a:xfrm>
                    <a:prstGeom prst="rect"/>
                  </pic:spPr>
                </pic:pic>
              </a:graphicData>
            </a:graphic>
          </wp:inline>
        </w:drawing>
      </w:r>
    </w:p>
    <w:p>
      <w:pPr>
        <w:jc w:val="left"/>
      </w:pPr>
      <w:r>
        <w:rPr>
          <w:rFonts w:ascii="Times New Roman" w:hAnsi="Times New Roman"/>
          <w:b/>
          <w:sz w:val="20"/>
        </w:rPr>
        <w:t xml:space="preserve">Figure 1. </w:t>
      </w:r>
      <w:r>
        <w:rPr>
          <w:rFonts w:ascii="Times New Roman" w:hAnsi="Times New Roman"/>
          <w:sz w:val="20"/>
        </w:rPr>
        <w:t>Overview of the KOTHA Framework. Module K (Counterfactual Power Simulation) uses retrospective cohort data to quantify risk-profile shift and estimate power under counterfactual enrollment scenarios. Module T (Bayesian Evidence Integration) combines RCT and observational evidence using hierarchical models with power-prior discounting. Module H (Guideline Interpreter) synthesizes outputs from Modules K and T into a structured GRADE-compatible assessment for guideline committees. Arrows indicate data flow between modules.</w:t>
      </w:r>
    </w:p>
    <w:p>
      <w:pPr>
        <w:jc w:val="center"/>
      </w:pPr>
      <w:r>
        <w:drawing>
          <wp:inline xmlns:a="http://schemas.openxmlformats.org/drawingml/2006/main" xmlns:pic="http://schemas.openxmlformats.org/drawingml/2006/picture">
            <wp:extent cx="5029200" cy="2063370"/>
            <wp:docPr id="2" name="Picture 2"/>
            <wp:cNvGraphicFramePr>
              <a:graphicFrameLocks noChangeAspect="1"/>
            </wp:cNvGraphicFramePr>
            <a:graphic>
              <a:graphicData uri="http://schemas.openxmlformats.org/drawingml/2006/picture">
                <pic:pic>
                  <pic:nvPicPr>
                    <pic:cNvPr id="0" name="fig2_risk_profile_shift.png"/>
                    <pic:cNvPicPr/>
                  </pic:nvPicPr>
                  <pic:blipFill>
                    <a:blip r:embed="rId10"/>
                    <a:stretch>
                      <a:fillRect/>
                    </a:stretch>
                  </pic:blipFill>
                  <pic:spPr>
                    <a:xfrm>
                      <a:off x="0" y="0"/>
                      <a:ext cx="5029200" cy="2063370"/>
                    </a:xfrm>
                    <a:prstGeom prst="rect"/>
                  </pic:spPr>
                </pic:pic>
              </a:graphicData>
            </a:graphic>
          </wp:inline>
        </w:drawing>
      </w:r>
    </w:p>
    <w:p>
      <w:pPr>
        <w:jc w:val="left"/>
      </w:pPr>
      <w:r>
        <w:rPr>
          <w:rFonts w:ascii="Times New Roman" w:hAnsi="Times New Roman"/>
          <w:b/>
          <w:sz w:val="20"/>
        </w:rPr>
        <w:t xml:space="preserve">Figure 2. </w:t>
      </w:r>
      <w:r>
        <w:rPr>
          <w:rFonts w:ascii="Times New Roman" w:hAnsi="Times New Roman"/>
          <w:sz w:val="20"/>
        </w:rPr>
        <w:t>Risk-profile shift in the magnesium-in-AMI case. (A) Control-group mortality rates over time, with bubble size proportional to study sample size. Colors indicate era classification. (B) Weighted mean control mortality by era, showing the decline from pre-thrombolysis to thrombolysis era.</w:t>
      </w:r>
    </w:p>
    <w:p>
      <w:pPr>
        <w:jc w:val="center"/>
      </w:pPr>
      <w:r>
        <w:drawing>
          <wp:inline xmlns:a="http://schemas.openxmlformats.org/drawingml/2006/main" xmlns:pic="http://schemas.openxmlformats.org/drawingml/2006/picture">
            <wp:extent cx="5029200" cy="2097128"/>
            <wp:docPr id="3" name="Picture 3"/>
            <wp:cNvGraphicFramePr>
              <a:graphicFrameLocks noChangeAspect="1"/>
            </wp:cNvGraphicFramePr>
            <a:graphic>
              <a:graphicData uri="http://schemas.openxmlformats.org/drawingml/2006/picture">
                <pic:pic>
                  <pic:nvPicPr>
                    <pic:cNvPr id="0" name="fig3_power_curves.png"/>
                    <pic:cNvPicPr/>
                  </pic:nvPicPr>
                  <pic:blipFill>
                    <a:blip r:embed="rId11"/>
                    <a:stretch>
                      <a:fillRect/>
                    </a:stretch>
                  </pic:blipFill>
                  <pic:spPr>
                    <a:xfrm>
                      <a:off x="0" y="0"/>
                      <a:ext cx="5029200" cy="2097128"/>
                    </a:xfrm>
                    <a:prstGeom prst="rect"/>
                  </pic:spPr>
                </pic:pic>
              </a:graphicData>
            </a:graphic>
          </wp:inline>
        </w:drawing>
      </w:r>
    </w:p>
    <w:p>
      <w:pPr>
        <w:jc w:val="left"/>
      </w:pPr>
      <w:r>
        <w:rPr>
          <w:rFonts w:ascii="Times New Roman" w:hAnsi="Times New Roman"/>
          <w:b/>
          <w:sz w:val="20"/>
        </w:rPr>
        <w:t xml:space="preserve">Figure 3. </w:t>
      </w:r>
      <w:r>
        <w:rPr>
          <w:rFonts w:ascii="Times New Roman" w:hAnsi="Times New Roman"/>
          <w:sz w:val="20"/>
        </w:rPr>
        <w:t>Estimated power by enrollment scenario and true effect size. (A) Magnesium in AMI at the ISIS-4 sample size (N = 58,050). (B) Statins in HF at the combined RCT sample size (N = 9,585). Horizontal dashed lines indicate 80% power threshold. S1 = real-world/observational event rate; S2 = RCT event rate; S3 = intermediate/enriched rate.</w:t>
      </w:r>
    </w:p>
    <w:p>
      <w:pPr>
        <w:jc w:val="center"/>
      </w:pPr>
      <w:r>
        <w:drawing>
          <wp:inline xmlns:a="http://schemas.openxmlformats.org/drawingml/2006/main" xmlns:pic="http://schemas.openxmlformats.org/drawingml/2006/picture">
            <wp:extent cx="5029200" cy="5289798"/>
            <wp:docPr id="4" name="Picture 4"/>
            <wp:cNvGraphicFramePr>
              <a:graphicFrameLocks noChangeAspect="1"/>
            </wp:cNvGraphicFramePr>
            <a:graphic>
              <a:graphicData uri="http://schemas.openxmlformats.org/drawingml/2006/picture">
                <pic:pic>
                  <pic:nvPicPr>
                    <pic:cNvPr id="0" name="fig4_forest_plot_mg.png"/>
                    <pic:cNvPicPr/>
                  </pic:nvPicPr>
                  <pic:blipFill>
                    <a:blip r:embed="rId12"/>
                    <a:stretch>
                      <a:fillRect/>
                    </a:stretch>
                  </pic:blipFill>
                  <pic:spPr>
                    <a:xfrm>
                      <a:off x="0" y="0"/>
                      <a:ext cx="5029200" cy="5289798"/>
                    </a:xfrm>
                    <a:prstGeom prst="rect"/>
                  </pic:spPr>
                </pic:pic>
              </a:graphicData>
            </a:graphic>
          </wp:inline>
        </w:drawing>
      </w:r>
    </w:p>
    <w:p>
      <w:pPr>
        <w:jc w:val="left"/>
      </w:pPr>
      <w:r>
        <w:rPr>
          <w:rFonts w:ascii="Times New Roman" w:hAnsi="Times New Roman"/>
          <w:b/>
          <w:sz w:val="20"/>
        </w:rPr>
        <w:t xml:space="preserve">Figure 4. </w:t>
      </w:r>
      <w:r>
        <w:rPr>
          <w:rFonts w:ascii="Times New Roman" w:hAnsi="Times New Roman"/>
          <w:sz w:val="20"/>
        </w:rPr>
        <w:t>Forest plot for magnesium in AMI. Individual study odds ratios are shown with 95% confidence intervals, color-coded by era. Pooled estimates include frequentist random-effects (pre-ISIS-4 and all trials) and Bayesian integrated estimates at selected discounting levels (alpha = 0.3, 0.5, 1.0).</w:t>
      </w:r>
    </w:p>
    <w:p>
      <w:pPr>
        <w:jc w:val="center"/>
      </w:pPr>
      <w:r>
        <w:drawing>
          <wp:inline xmlns:a="http://schemas.openxmlformats.org/drawingml/2006/main" xmlns:pic="http://schemas.openxmlformats.org/drawingml/2006/picture">
            <wp:extent cx="5029200" cy="2063370"/>
            <wp:docPr id="5" name="Picture 5"/>
            <wp:cNvGraphicFramePr>
              <a:graphicFrameLocks noChangeAspect="1"/>
            </wp:cNvGraphicFramePr>
            <a:graphic>
              <a:graphicData uri="http://schemas.openxmlformats.org/drawingml/2006/picture">
                <pic:pic>
                  <pic:nvPicPr>
                    <pic:cNvPr id="0" name="fig7_sensitivity_analysis.png"/>
                    <pic:cNvPicPr/>
                  </pic:nvPicPr>
                  <pic:blipFill>
                    <a:blip r:embed="rId13"/>
                    <a:stretch>
                      <a:fillRect/>
                    </a:stretch>
                  </pic:blipFill>
                  <pic:spPr>
                    <a:xfrm>
                      <a:off x="0" y="0"/>
                      <a:ext cx="5029200" cy="2063370"/>
                    </a:xfrm>
                    <a:prstGeom prst="rect"/>
                  </pic:spPr>
                </pic:pic>
              </a:graphicData>
            </a:graphic>
          </wp:inline>
        </w:drawing>
      </w:r>
    </w:p>
    <w:p>
      <w:pPr>
        <w:jc w:val="left"/>
      </w:pPr>
      <w:r>
        <w:rPr>
          <w:rFonts w:ascii="Times New Roman" w:hAnsi="Times New Roman"/>
          <w:b/>
          <w:sz w:val="20"/>
        </w:rPr>
        <w:t xml:space="preserve">Figure 5. </w:t>
      </w:r>
      <w:r>
        <w:rPr>
          <w:rFonts w:ascii="Times New Roman" w:hAnsi="Times New Roman"/>
          <w:sz w:val="20"/>
        </w:rPr>
        <w:t>Sensitivity analysis of Bayesian integration to the discounting parameter alpha. (A) Magnesium in AMI. (B) Statins in HF. Three posterior probability thresholds are shown: P(effect &lt; 1.0), P(effect &lt; 0.90), and P(effect &lt; 0.80). Horizontal dashed line indicates 95% probability threshold.</w:t>
      </w:r>
    </w:p>
    <w:p>
      <w:pPr>
        <w:jc w:val="center"/>
      </w:pPr>
      <w:r>
        <w:drawing>
          <wp:inline xmlns:a="http://schemas.openxmlformats.org/drawingml/2006/main" xmlns:pic="http://schemas.openxmlformats.org/drawingml/2006/picture">
            <wp:extent cx="5029200" cy="4392292"/>
            <wp:docPr id="6" name="Picture 6"/>
            <wp:cNvGraphicFramePr>
              <a:graphicFrameLocks noChangeAspect="1"/>
            </wp:cNvGraphicFramePr>
            <a:graphic>
              <a:graphicData uri="http://schemas.openxmlformats.org/drawingml/2006/picture">
                <pic:pic>
                  <pic:nvPicPr>
                    <pic:cNvPr id="0" name="fig6_forest_statins.png"/>
                    <pic:cNvPicPr/>
                  </pic:nvPicPr>
                  <pic:blipFill>
                    <a:blip r:embed="rId14"/>
                    <a:stretch>
                      <a:fillRect/>
                    </a:stretch>
                  </pic:blipFill>
                  <pic:spPr>
                    <a:xfrm>
                      <a:off x="0" y="0"/>
                      <a:ext cx="5029200" cy="4392292"/>
                    </a:xfrm>
                    <a:prstGeom prst="rect"/>
                  </pic:spPr>
                </pic:pic>
              </a:graphicData>
            </a:graphic>
          </wp:inline>
        </w:drawing>
      </w:r>
    </w:p>
    <w:p>
      <w:pPr>
        <w:jc w:val="left"/>
      </w:pPr>
      <w:r>
        <w:rPr>
          <w:rFonts w:ascii="Times New Roman" w:hAnsi="Times New Roman"/>
          <w:b/>
          <w:sz w:val="20"/>
        </w:rPr>
        <w:t xml:space="preserve">Figure 6. </w:t>
      </w:r>
      <w:r>
        <w:rPr>
          <w:rFonts w:ascii="Times New Roman" w:hAnsi="Times New Roman"/>
          <w:sz w:val="20"/>
        </w:rPr>
        <w:t>Forest plot for statins in heart failure. Individual study hazard ratios are shown with 95% confidence intervals, grouped by design (RCT vs. observational). Pooled estimates include design-specific frequentist pooling and KOTHA-integrated estimates at selected discounting levels (alpha = 0.1, 0.3, 0.5).</w:t>
      </w:r>
    </w:p>
    <w:p>
      <w:pPr>
        <w:jc w:val="center"/>
      </w:pPr>
      <w:r>
        <w:drawing>
          <wp:inline xmlns:a="http://schemas.openxmlformats.org/drawingml/2006/main" xmlns:pic="http://schemas.openxmlformats.org/drawingml/2006/picture">
            <wp:extent cx="5029200" cy="3008295"/>
            <wp:docPr id="7" name="Picture 7"/>
            <wp:cNvGraphicFramePr>
              <a:graphicFrameLocks noChangeAspect="1"/>
            </wp:cNvGraphicFramePr>
            <a:graphic>
              <a:graphicData uri="http://schemas.openxmlformats.org/drawingml/2006/picture">
                <pic:pic>
                  <pic:nvPicPr>
                    <pic:cNvPr id="0" name="fig5_tsa_magnesium.png"/>
                    <pic:cNvPicPr/>
                  </pic:nvPicPr>
                  <pic:blipFill>
                    <a:blip r:embed="rId15"/>
                    <a:stretch>
                      <a:fillRect/>
                    </a:stretch>
                  </pic:blipFill>
                  <pic:spPr>
                    <a:xfrm>
                      <a:off x="0" y="0"/>
                      <a:ext cx="5029200" cy="3008295"/>
                    </a:xfrm>
                    <a:prstGeom prst="rect"/>
                  </pic:spPr>
                </pic:pic>
              </a:graphicData>
            </a:graphic>
          </wp:inline>
        </w:drawing>
      </w:r>
    </w:p>
    <w:p>
      <w:pPr>
        <w:jc w:val="left"/>
      </w:pPr>
      <w:r>
        <w:rPr>
          <w:rFonts w:ascii="Times New Roman" w:hAnsi="Times New Roman"/>
          <w:b/>
          <w:sz w:val="20"/>
        </w:rPr>
        <w:t xml:space="preserve">Figure 7. </w:t>
      </w:r>
      <w:r>
        <w:rPr>
          <w:rFonts w:ascii="Times New Roman" w:hAnsi="Times New Roman"/>
          <w:sz w:val="20"/>
        </w:rPr>
        <w:t>Trial sequential analysis for magnesium in AMI. The cumulative Z-curve is plotted against cumulative events. Vertical dashed line indicates the optimal information size (OIS). Curved lines show O'Brien-Fleming monitoring boundaries. Key studies (LIMIT-2, ISIS-4) are annotated.</w:t>
      </w:r>
    </w:p>
    <w:p>
      <w:pPr>
        <w:jc w:val="center"/>
      </w:pPr>
      <w:r>
        <w:drawing>
          <wp:inline xmlns:a="http://schemas.openxmlformats.org/drawingml/2006/main" xmlns:pic="http://schemas.openxmlformats.org/drawingml/2006/picture">
            <wp:extent cx="5029200" cy="2715861"/>
            <wp:docPr id="8" name="Picture 8"/>
            <wp:cNvGraphicFramePr>
              <a:graphicFrameLocks noChangeAspect="1"/>
            </wp:cNvGraphicFramePr>
            <a:graphic>
              <a:graphicData uri="http://schemas.openxmlformats.org/drawingml/2006/picture">
                <pic:pic>
                  <pic:nvPicPr>
                    <pic:cNvPr id="0" name="fig8_module_h_comparison.png"/>
                    <pic:cNvPicPr/>
                  </pic:nvPicPr>
                  <pic:blipFill>
                    <a:blip r:embed="rId16"/>
                    <a:stretch>
                      <a:fillRect/>
                    </a:stretch>
                  </pic:blipFill>
                  <pic:spPr>
                    <a:xfrm>
                      <a:off x="0" y="0"/>
                      <a:ext cx="5029200" cy="2715861"/>
                    </a:xfrm>
                    <a:prstGeom prst="rect"/>
                  </pic:spPr>
                </pic:pic>
              </a:graphicData>
            </a:graphic>
          </wp:inline>
        </w:drawing>
      </w:r>
    </w:p>
    <w:p>
      <w:pPr>
        <w:jc w:val="left"/>
      </w:pPr>
      <w:r>
        <w:rPr>
          <w:rFonts w:ascii="Times New Roman" w:hAnsi="Times New Roman"/>
          <w:b/>
          <w:sz w:val="20"/>
        </w:rPr>
        <w:t xml:space="preserve">Figure 8. </w:t>
      </w:r>
      <w:r>
        <w:rPr>
          <w:rFonts w:ascii="Times New Roman" w:hAnsi="Times New Roman"/>
          <w:sz w:val="20"/>
        </w:rPr>
        <w:t>Module H assessment comparison: standard GRADE vs. KOTHA-enhanced evaluation for both illustrative cases. Color coding indicates severity of concern (green = no concern, yellow = moderate, red = serious).</w:t>
      </w:r>
    </w:p>
    <w:p>
      <w:pPr>
        <w:pStyle w:val="Heading2"/>
      </w:pPr>
      <w:r>
        <w:rPr>
          <w:color w:val="000000"/>
        </w:rPr>
        <w:t>Additional files</w:t>
      </w:r>
    </w:p>
    <w:p>
      <w:r>
        <w:rPr>
          <w:rFonts w:ascii="Times New Roman" w:hAnsi="Times New Roman"/>
          <w:b/>
          <w:i w:val="0"/>
          <w:sz w:val="24"/>
        </w:rPr>
        <w:t>Additional file 1</w:t>
      </w:r>
      <w:r>
        <w:rPr>
          <w:rFonts w:ascii="Times New Roman" w:hAnsi="Times New Roman"/>
          <w:b w:val="0"/>
          <w:i w:val="0"/>
          <w:sz w:val="24"/>
        </w:rPr>
        <w:t>: Study-level data tables for both illustrative cases (Tables S1–S2), including trial characteristics, event counts, and era classification.</w:t>
      </w:r>
    </w:p>
    <w:p>
      <w:r>
        <w:rPr>
          <w:rFonts w:ascii="Times New Roman" w:hAnsi="Times New Roman"/>
          <w:b/>
          <w:i w:val="0"/>
          <w:sz w:val="24"/>
        </w:rPr>
        <w:t>Additional file 2</w:t>
      </w:r>
      <w:r>
        <w:rPr>
          <w:rFonts w:ascii="Times New Roman" w:hAnsi="Times New Roman"/>
          <w:b w:val="0"/>
          <w:i w:val="0"/>
          <w:sz w:val="24"/>
        </w:rPr>
        <w:t>: Python validation code implementing all three modules with figure generation.</w:t>
      </w:r>
    </w:p>
    <w:p>
      <w:r>
        <w:rPr>
          <w:rFonts w:ascii="Times New Roman" w:hAnsi="Times New Roman"/>
          <w:b/>
          <w:i w:val="0"/>
          <w:sz w:val="24"/>
        </w:rPr>
        <w:t>Additional file 3</w:t>
      </w:r>
      <w:r>
        <w:rPr>
          <w:rFonts w:ascii="Times New Roman" w:hAnsi="Times New Roman"/>
          <w:b w:val="0"/>
          <w:i w:val="0"/>
          <w:sz w:val="24"/>
        </w:rPr>
        <w:t>: Complete Bayesian integration results across all alpha and delta grid values.</w:t>
      </w:r>
    </w:p>
    <w:p>
      <w:r>
        <w:rPr>
          <w:rFonts w:ascii="Times New Roman" w:hAnsi="Times New Roman"/>
          <w:b/>
          <w:i w:val="0"/>
          <w:sz w:val="24"/>
        </w:rPr>
        <w:t>Additional file 4</w:t>
      </w:r>
      <w:r>
        <w:rPr>
          <w:rFonts w:ascii="Times New Roman" w:hAnsi="Times New Roman"/>
          <w:b w:val="0"/>
          <w:i w:val="0"/>
          <w:sz w:val="24"/>
        </w:rPr>
        <w:t>: ADEMP reporting checklist for Module K simulation component.</w:t>
      </w:r>
    </w:p>
    <w:p>
      <w:r>
        <w:rPr>
          <w:rFonts w:ascii="Times New Roman" w:hAnsi="Times New Roman"/>
          <w:b/>
          <w:i w:val="0"/>
          <w:sz w:val="24"/>
        </w:rPr>
        <w:t>Additional file 5</w:t>
      </w:r>
      <w:r>
        <w:rPr>
          <w:rFonts w:ascii="Times New Roman" w:hAnsi="Times New Roman"/>
          <w:b w:val="0"/>
          <w:i w:val="0"/>
          <w:sz w:val="24"/>
        </w:rPr>
        <w:t>: Module H checklist template for guideline committees, with worked examples and decision flowchart.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2025-01-01T00:00:00Z</dcterms:created>
  <dcterms:modified xsi:type="dcterms:W3CDTF">2025-01-01T00:00:00Z</dcterms:modified>
  <cp:category/>
</cp:coreProperties>
</file>