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Neither agricultural test provided confirmatory evidence of legacy-associated rigidity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 The economics of increasing returns formalized why: once a technology, crop or urban form is adopted, learning effects, coordination benefits and adaptive expectations raise the cost of every alternative</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The claim is consequential. If inherited structure is the binding constraint on adaptation, then transformation may appear to require structural replacement rather than adjustment, and incremental adaptation policy may look futile in legacy-heavy systems.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 Persistence is often discussed through the language of path dependence and lock-in, although persistence alone does not identify the mechanism that constrains alternatives.</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 It is also sequential in strength. If the interaction fails under the weakest conditions — continuous, marginal reallocation — there is little reason to expect it at harder margins; if it appears only at the hardest margin — initiation of transformational departure — the boundary itself is informative.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 xml:space="preserve"> (Extended Data Fig. 1, Extended Data Table 1). This design converts a familiar rhetorical claim into a set of separate, examinable tests whose failures are as informative as its successes, and it removes the researcher's largest degree of freedom — the freedom to keep searching until the hypothesis is confirmed.</w:t>
      </w:r>
    </w:p>
    <w:p>
      <w:r>
        <w:rPr>
          <w:rFonts w:ascii="Times New Roman" w:hAnsi="Times New Roman"/>
          <w:b w:val="0"/>
          <w:i w:val="0"/>
          <w:color w:val="000000"/>
          <w:sz w:val="24"/>
        </w:rPr>
        <w:t>The expected general rigidity pattern did not emerge. The two agricultural tests yield estimates centred on zero, with no evidence of conditioning; the urban test yields a small, context-dependent interaction; the transition test yields a directional but uncertain barrier and an unsupported enablement mechanism. What the programme produces instead is an empirical boundary: accumulated legacy alone is insufficient evidence of adaptation lock-in. Constraint, where it exists, must be demonstrated against measurable barriers — substitution costs, network dependence, coordination thresholds, institutional exit — rather than inferred from the depth of accumulated structure.</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xml:space="preserve">. In the frozen fractional-logit specification on 147 countries, the specialization-by-mismatch interaction was </w:t>
      </w:r>
      <m:oMath>
        <m:r>
          <m:rPr>
            <m:sty m:val="p"/>
          </m:rPr>
          <m:t>β3</m:t>
        </m:r>
      </m:oMath>
      <w:r>
        <w:rPr>
          <w:rFonts w:ascii="Times New Roman" w:hAnsi="Times New Roman"/>
          <w:b w:val="0"/>
          <w:i w:val="0"/>
          <w:color w:val="000000"/>
          <w:sz w:val="24"/>
        </w:rPr>
        <w:t xml:space="preserve"> = +0.005 (95% CI [−0.131, +0.143], M49-subregion cluster bootstrap, B = 999; Fig. 2). The interval is centred almost exactly on zero and provides no evidence of conditioning in either direction (Extended Data Fig. 2).</w:t>
      </w:r>
    </w:p>
    <w:p>
      <w:r>
        <w:rPr>
          <w:rFonts w:ascii="Times New Roman" w:hAnsi="Times New Roman"/>
          <w:b w:val="0"/>
          <w:i w:val="0"/>
          <w:color w:val="000000"/>
          <w:sz w:val="24"/>
        </w:rPr>
        <w:t xml:space="preserve">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w:t>
      </w:r>
      <m:oMath>
        <m:r>
          <m:rPr>
            <m:sty m:val="p"/>
          </m:rPr>
          <m:t>β3</m:t>
        </m:r>
      </m:oMath>
      <w:r>
        <w:rPr>
          <w:rFonts w:ascii="Times New Roman" w:hAnsi="Times New Roman"/>
          <w:b w:val="0"/>
          <w:i w:val="0"/>
          <w:color w:val="000000"/>
          <w:sz w:val="24"/>
        </w:rPr>
        <w:t xml:space="preserve"> = −0.038 (95% CI [−0.251, +0.077], 10-degree geographic-block bootstrap, B = 999, p = 0.384; Fig. 2). 8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xml:space="preserve">.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w:t>
      </w:r>
      <m:oMath>
        <m:r>
          <m:rPr>
            <m:sty m:val="p"/>
          </m:rPr>
          <m:t>β3</m:t>
        </m:r>
      </m:oMath>
      <w:r>
        <w:rPr>
          <w:rFonts w:ascii="Times New Roman" w:hAnsi="Times New Roman"/>
          <w:b w:val="0"/>
          <w:i w:val="0"/>
          <w:color w:val="000000"/>
          <w:sz w:val="24"/>
        </w:rPr>
        <w:t xml:space="preserve"> = −0.0083 (95% CI [−0.0166, −0.0033], 1,000-km geographic-block bootstrap, B = 999, p = 0.002), equivalent to an original-scale marginal contrast of −0.010 on the reallocation index — approximately 3.5% of its standard deviation (Fig. 3).</w:t>
      </w:r>
    </w:p>
    <w:p>
      <w:r>
        <w:rPr>
          <w:rFonts w:ascii="Times New Roman" w:hAnsi="Times New Roman"/>
          <w:b w:val="0"/>
          <w:i w:val="0"/>
          <w:color w:val="000000"/>
          <w:sz w:val="24"/>
        </w:rPr>
        <w:t xml:space="preserve">The primary estimate was negative and precise, but small and strongly context-dependent. It is concentrated in inland settlements (inland &gt;50 km: </w:t>
      </w:r>
      <m:oMath>
        <m:r>
          <m:rPr>
            <m:sty m:val="p"/>
          </m:rPr>
          <m:t>β3</m:t>
        </m:r>
      </m:oMath>
      <w:r>
        <w:rPr>
          <w:rFonts w:ascii="Times New Roman" w:hAnsi="Times New Roman"/>
          <w:b w:val="0"/>
          <w:i w:val="0"/>
          <w:color w:val="000000"/>
          <w:sz w:val="24"/>
        </w:rPr>
        <w:t xml:space="preserve">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(542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 xml:space="preserve">Flood demand strongly predicts first programme entry (main effect +1.10, p ≈ 2×10⁻¹¹). The primary legacy interaction, however, is directional but uncertain: </w:t>
      </w:r>
      <m:oMath>
        <m:r>
          <m:rPr>
            <m:sty m:val="p"/>
          </m:rPr>
          <m:t>β</m:t>
        </m:r>
      </m:oMath>
      <w:r>
        <w:rPr>
          <w:rFonts w:ascii="Times New Roman" w:hAnsi="Times New Roman"/>
          <w:b w:val="0"/>
          <w:i w:val="0"/>
          <w:color w:val="000000"/>
          <w:sz w:val="24"/>
        </w:rPr>
        <w:t xml:space="preserve"> = −0.192 (95% CI [−0.454, +0.069], p = 0.149; Fig. 4a) — consistent with a legacy barrier but not distinguishable from zero, and the interval is wide enough to contain substantively large barriers. The capacity interaction is unsupported: </w:t>
      </w:r>
      <m:oMath>
        <m:r>
          <m:rPr>
            <m:sty m:val="p"/>
          </m:rPr>
          <m:t>β</m:t>
        </m:r>
      </m:oMath>
      <w:r>
        <w:rPr>
          <w:rFonts w:ascii="Times New Roman" w:hAnsi="Times New Roman"/>
          <w:b w:val="0"/>
          <w:i w:val="0"/>
          <w:color w:val="000000"/>
          <w:sz w:val="24"/>
        </w:rPr>
        <w:t xml:space="preserve"> = +0.034 (95% CI [−0.097, +0.166], p = 0.610; Fig. 4b). Prior departure-programme experience predicts higher baseline programme activity but does not amplify the demand-triggered transition initiation it was theorized to enable.</w:t>
      </w:r>
    </w:p>
    <w:p>
      <w:r>
        <w:rPr>
          <w:rFonts w:ascii="Times New Roman" w:hAnsi="Times New Roman"/>
          <w:b w:val="0"/>
          <w:i w:val="0"/>
          <w:color w:val="000000"/>
          <w:sz w:val="24"/>
        </w:rPr>
        <w:t xml:space="preserve">Prespecified secondary analyses are consistent with — but cannot confirm — the primary reading. In the lag-1 demand window the extensive-margin interaction strengthened to </w:t>
      </w:r>
      <m:oMath>
        <m:r>
          <m:rPr>
            <m:sty m:val="p"/>
          </m:rPr>
          <m:t>β</m:t>
        </m:r>
      </m:oMath>
      <w:r>
        <w:rPr>
          <w:rFonts w:ascii="Times New Roman" w:hAnsi="Times New Roman"/>
          <w:b w:val="0"/>
          <w:i w:val="0"/>
          <w:color w:val="000000"/>
          <w:sz w:val="24"/>
        </w:rPr>
        <w:t xml:space="preserve"> = −0.380 (p = 0.012), and on the secondary intensive margin (entry volumes, PPML with county and year fixed effects) the legacy interaction was </w:t>
      </w:r>
      <m:oMath>
        <m:r>
          <m:rPr>
            <m:sty m:val="p"/>
          </m:rPr>
          <m:t>β</m:t>
        </m:r>
      </m:oMath>
      <w:r>
        <w:rPr>
          <w:rFonts w:ascii="Times New Roman" w:hAnsi="Times New Roman"/>
          <w:b w:val="0"/>
          <w:i w:val="0"/>
          <w:color w:val="000000"/>
          <w:sz w:val="24"/>
        </w:rPr>
        <w:t xml:space="preserve">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Supplementary Table 1). The two agricultural tests provided no stable evidence that legacy conditioned transformation. The one system where a primary interaction reached precision — urban built capital — produced an original-scale contrast of approximately −0.010 — about 3.5% of the outcome standard deviation — that was not stable across prespecified alternative hazard and capital definitions. At the institutional transition margin the legacy direction is systematically negative — a negative H1 estimate retained across all prespecified numeric variants (Extended Data Fig. 7) — but the confirmatory first-entry estimate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 This is a stronger statement than the familiar complaint that lock-in is 'overused'. It says that at the scales and on the margins we tested, the observable implication of general lock-in — an attenuation of transformation that grows with both legacy and demand — is not where the data sit.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 This is consistent with evidence that crop switching and comparative-advantage reallocation remain substantial</w:t>
      </w:r>
      <w:r>
        <w:rPr>
          <w:rFonts w:ascii="Times New Roman" w:hAnsi="Times New Roman"/>
          <w:color w:val="000000"/>
          <w:sz w:val="24"/>
          <w:vertAlign w:val="superscript"/>
        </w:rPr>
        <w:t>[35,36]</w:t>
      </w:r>
      <w:r>
        <w:rPr>
          <w:rFonts w:ascii="Times New Roman" w:hAnsi="Times New Roman"/>
          <w:b w:val="0"/>
          <w:i w:val="0"/>
          <w:color w:val="000000"/>
          <w:sz w:val="24"/>
        </w:rPr>
        <w:t xml:space="preserve"> and that measured adaptation shortfalls concentrate in output outcomes rather than in the transformation margin itself</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Urban built capital is the branch that comes closest to the hypothesized pattern: the primary estimate is negative and precise. Its weakness is as informative as its existence. An interaction of roughly 3.5% of the outcome's standard deviation, concentrated inland, reversing at longer hazard return periods and not reproducing under the sea-level-rise subset is conditioning at the margin, not lock-in. For strong claims of wholesale stranding of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with a pre-specified transition-intensity estimand.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A research agenda follows directly: measure substitutability and switching costs where transformation is demanded; test the transition-depth margin the secondary signatures point to; and treat each candidate constraint as a separate estimand rather than a synonym for lock-in.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 A system may abandon form extensively while preserving function — a city that relocates its flood-exposed fringe is still a city — so rigidity of form does not entail loss of function, and flexibility of form does not guarantee it.</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 Where policies assume structural replacement is necessary because inherited systems cannot adapt, our tests show the premise has not been demonstrated: diagnosis of actual transition constraints should come first.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Finally, our tests measure whether transformation happens, not whether it is timely, just or sufficient — systems may transform and still adapt badly.</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w:t>
      </w:r>
      <w:r>
        <w:rPr>
          <w:rFonts w:ascii="Times New Roman" w:hAnsi="Times New Roman"/>
          <w:color w:val="000000"/>
          <w:sz w:val="24"/>
          <w:vertAlign w:val="superscript"/>
        </w:rPr>
        <w:t>[44]</w:t>
      </w:r>
      <w:r>
        <w:rPr>
          <w:rFonts w:ascii="Times New Roman" w:hAnsi="Times New Roman"/>
          <w:b w:val="0"/>
          <w:i w:val="0"/>
          <w:color w:val="000000"/>
          <w:sz w:val="24"/>
        </w:rPr>
        <w:t>/SPAM2000</w:t>
      </w:r>
      <w:r>
        <w:rPr>
          <w:rFonts w:ascii="Times New Roman" w:hAnsi="Times New Roman"/>
          <w:color w:val="000000"/>
          <w:sz w:val="24"/>
          <w:vertAlign w:val="superscript"/>
        </w:rPr>
        <w:t>[45]</w:t>
      </w:r>
      <w:r>
        <w:rPr>
          <w:rFonts w:ascii="Times New Roman" w:hAnsi="Times New Roman"/>
          <w:b w:val="0"/>
          <w:i w:val="0"/>
          <w:color w:val="000000"/>
          <w:sz w:val="24"/>
        </w:rPr>
        <w:t xml:space="preserve"> basis). Demand: dominant-crop crop-calendar mismatch, a Mahalanobis displacement between the crop's 1984–2001 and 2002–2020 agro-climatic windows (MIRCA2000</w:t>
      </w:r>
      <w:r>
        <w:rPr>
          <w:rFonts w:ascii="Times New Roman" w:hAnsi="Times New Roman"/>
          <w:color w:val="000000"/>
          <w:sz w:val="24"/>
          <w:vertAlign w:val="superscript"/>
        </w:rPr>
        <w:t>[46]</w:t>
      </w:r>
      <w:r>
        <w:rPr>
          <w:rFonts w:ascii="Times New Roman" w:hAnsi="Times New Roman"/>
          <w:b w:val="0"/>
          <w:i w:val="0"/>
          <w:color w:val="000000"/>
          <w:sz w:val="24"/>
        </w:rPr>
        <w:t xml:space="preserve"> crop calendar; ERA5</w:t>
      </w:r>
      <w:r>
        <w:rPr>
          <w:rFonts w:ascii="Times New Roman" w:hAnsi="Times New Roman"/>
          <w:color w:val="000000"/>
          <w:sz w:val="24"/>
          <w:vertAlign w:val="superscript"/>
        </w:rPr>
        <w:t>[47]</w:t>
      </w:r>
      <w:r>
        <w:rPr>
          <w:rFonts w:ascii="Times New Roman" w:hAnsi="Times New Roman"/>
          <w:b w:val="0"/>
          <w:i w:val="0"/>
          <w:color w:val="000000"/>
          <w:sz w:val="24"/>
        </w:rPr>
        <w:t xml:space="preserve">-derived fields). Outcome: the Jensen–Shannon divergence between early (1981–2001) and late (2002–2020) crop-mix distributions, scaled by </w:t>
      </w:r>
      <m:oMath>
        <m:rad>
          <m:radPr>
            <m:degHide m:val="on"/>
          </m:radPr>
          <m:deg/>
          <m:e>
            <m:r>
              <m:rPr>
                <m:sty m:val="p"/>
              </m:rPr>
              <m:t>(</m:t>
            </m:r>
            <m:r>
              <m:rPr>
                <m:sty m:val="p"/>
              </m:rPr>
              <m:t>ln</m:t>
            </m:r>
            <m:r>
              <m:rPr>
                <m:sty m:val="p"/>
              </m:rPr>
              <m:t> </m:t>
            </m:r>
            <m:r>
              <m:rPr>
                <m:sty m:val="p"/>
              </m:rPr>
              <m:t>2</m:t>
            </m:r>
          </m:e>
        </m:rad>
      </m:oMath>
      <w:r>
        <w:rPr>
          <w:rFonts w:ascii="Times New Roman" w:hAnsi="Times New Roman"/>
          <w:b w:val="0"/>
          <w:i w:val="0"/>
          <w:color w:val="000000"/>
          <w:sz w:val="24"/>
        </w:rPr>
        <w:t>:</w:t>
      </w:r>
    </w:p>
    <w:p>
      <w:pPr>
        <w:spacing w:before="80" w:after="80"/>
      </w:pPr>
      <m:oMathPara>
        <m:oMath>
          <m:f>
            <m:num>
              <m:r>
                <m:rPr>
                  <m:sty m:val="p"/>
                </m:rPr>
                <m:t>JSD</m:t>
              </m:r>
              <m:r>
                <m:rPr>
                  <m:sty m:val="p"/>
                </m:rPr>
                <m:t> </m:t>
              </m:r>
              <m:r>
                <m:rPr>
                  <m:sty m:val="p"/>
                </m:rPr>
                <m:t>=</m:t>
              </m:r>
              <m:r>
                <m:rPr>
                  <m:sty m:val="p"/>
                </m:rPr>
                <m:t> </m:t>
              </m:r>
              <m:r>
                <m:rPr>
                  <m:sty m:val="p"/>
                </m:rPr>
                <m:t>DJS</m:t>
              </m:r>
              <m:r>
                <m:rPr>
                  <m:sty m:val="p"/>
                </m:rPr>
                <m:t>(</m:t>
              </m:r>
              <m:sSub>
                <m:e>
                  <m:r>
                    <m:rPr>
                      <m:sty m:val="p"/>
                    </m:rPr>
                    <m:t>p</m:t>
                  </m:r>
                </m:e>
                <m:sub>
                  <m:r>
                    <m:rPr>
                      <m:sty m:val="p"/>
                    </m:rPr>
                    <m:t>early</m:t>
                  </m:r>
                </m:sub>
              </m:sSub>
              <m:r>
                <m:rPr>
                  <m:sty m:val="p"/>
                </m:rPr>
                <m:t>,</m:t>
              </m:r>
              <m:r>
                <m:rPr>
                  <m:sty m:val="p"/>
                </m:rPr>
                <m:t> </m:t>
              </m:r>
              <m:sSub>
                <m:e>
                  <m:r>
                    <m:rPr>
                      <m:sty m:val="p"/>
                    </m:rPr>
                    <m:t>p</m:t>
                  </m:r>
                </m:e>
                <m:sub>
                  <m:r>
                    <m:rPr>
                      <m:sty m:val="p"/>
                    </m:rPr>
                    <m:t>late)</m:t>
                  </m:r>
                </m:sub>
              </m:sSub>
              <m:r>
                <m:rPr>
                  <m:sty m:val="p"/>
                </m:rPr>
                <m:t> </m:t>
              </m:r>
            </m:num>
            <m:den>
              <m:r>
                <m:rPr>
                  <m:sty m:val="p"/>
                </m:rPr>
                <m:t> </m:t>
              </m:r>
              <m:rad>
                <m:radPr>
                  <m:degHide m:val="on"/>
                </m:radPr>
                <m:deg/>
                <m:e>
                  <m:r>
                    <m:rPr>
                      <m:sty m:val="p"/>
                    </m:rPr>
                    <m:t>(</m:t>
                  </m:r>
                  <m:r>
                    <m:rPr>
                      <m:sty m:val="p"/>
                    </m:rPr>
                    <m:t>ln</m:t>
                  </m:r>
                  <m:r>
                    <m:rPr>
                      <m:sty m:val="p"/>
                    </m:rPr>
                    <m:t> </m:t>
                  </m:r>
                  <m:r>
                    <m:rPr>
                      <m:sty m:val="p"/>
                    </m:rPr>
                    <m:t>2</m:t>
                  </m:r>
                </m:e>
              </m:rad>
            </m:den>
          </m:f>
        </m:oMath>
      </m:oMathPara>
    </w:p>
    <w:p>
      <w:pPr>
        <w:spacing w:before="80" w:after="80"/>
      </w:pPr>
      <m:oMathPara>
        <m:oMath>
          <m:sSub>
            <m:e>
              <m:r>
                <m:rPr>
                  <m:sty m:val="p"/>
                </m:rPr>
                <m:t>JSD</m:t>
              </m:r>
            </m:e>
            <m:sub>
              <m:r>
                <m:rPr>
                  <m:sty m:val="p"/>
                </m:rPr>
                <m:t>i</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L</m:t>
              </m:r>
            </m:e>
            <m:sub>
              <m:r>
                <m:rPr>
                  <m:sty m:val="p"/>
                </m:rPr>
                <m:t>i</m:t>
              </m:r>
            </m:sub>
          </m:sSub>
          <m:r>
            <m:rPr>
              <m:sty m:val="p"/>
            </m:rPr>
            <m:t> </m:t>
          </m:r>
          <m:r>
            <m:rPr>
              <m:sty m:val="p"/>
            </m:rPr>
            <m:t>+</m:t>
          </m:r>
          <m:r>
            <m:rPr>
              <m:sty m:val="p"/>
            </m:rPr>
            <m:t> </m:t>
          </m:r>
          <m:r>
            <m:rPr>
              <m:sty m:val="p"/>
            </m:rPr>
            <m:t>β2</m:t>
          </m:r>
          <m:r>
            <m:rPr>
              <m:sty m:val="p"/>
            </m:rPr>
            <m:t> </m:t>
          </m:r>
          <m:sSub>
            <m:e>
              <m:r>
                <m:rPr>
                  <m:sty m:val="p"/>
                </m:rPr>
                <m:t>M</m:t>
              </m:r>
            </m:e>
            <m:sub>
              <m:r>
                <m:rPr>
                  <m:sty m:val="p"/>
                </m:rPr>
                <m:t>i</m:t>
              </m:r>
            </m:sub>
          </m:sSub>
          <m:r>
            <m:rPr>
              <m:sty m:val="p"/>
            </m:rPr>
            <m:t> </m:t>
          </m:r>
          <m:r>
            <m:rPr>
              <m:sty m:val="p"/>
            </m:rPr>
            <m:t>+</m:t>
          </m:r>
          <m:r>
            <m:rPr>
              <m:sty m:val="p"/>
            </m:rPr>
            <m:t> </m:t>
          </m:r>
          <m:r>
            <m:rPr>
              <m:sty m:val="p"/>
            </m:rPr>
            <m:t>β3</m:t>
          </m:r>
          <m:r>
            <m:rPr>
              <m:sty m:val="p"/>
            </m:rPr>
            <m:t> </m:t>
          </m:r>
          <m:sSub>
            <m:e>
              <m:r>
                <m:rPr>
                  <m:sty m:val="p"/>
                </m:rPr>
                <m:t>L</m:t>
              </m:r>
            </m:e>
            <m:sub>
              <m:r>
                <m:rPr>
                  <m:sty m:val="p"/>
                </m:rPr>
                <m:t>i</m:t>
              </m:r>
            </m:sub>
          </m:sSub>
          <m:r>
            <m:rPr>
              <m:sty m:val="p"/>
            </m:rPr>
            <m:t> </m:t>
          </m:r>
          <m:sSub>
            <m:e>
              <m:r>
                <m:rPr>
                  <m:sty m:val="p"/>
                </m:rPr>
                <m:t>M</m:t>
              </m:r>
            </m:e>
            <m:sub>
              <m:r>
                <m:rPr>
                  <m:sty m:val="p"/>
                </m:rPr>
                <m:t>i</m:t>
              </m:r>
            </m:sub>
          </m:sSub>
          <m:r>
            <m:rPr>
              <m:sty m:val="p"/>
            </m:rPr>
            <m:t> </m:t>
          </m:r>
          <m:r>
            <m:rPr>
              <m:sty m:val="p"/>
            </m:rPr>
            <m:t>+</m:t>
          </m:r>
          <m:r>
            <m:rPr>
              <m:sty m:val="p"/>
            </m:rPr>
            <m:t> </m:t>
          </m:r>
          <m:sSub>
            <m:e>
              <m:r>
                <m:rPr>
                  <m:sty m:val="p"/>
                </m:rPr>
                <m:t>ε</m:t>
              </m:r>
            </m:e>
            <m:sub>
              <m:r>
                <m:rPr>
                  <m:sty m:val="p"/>
                </m:rPr>
                <m:t>i</m:t>
              </m:r>
            </m:sub>
          </m:sSub>
        </m:oMath>
      </m:oMathPara>
    </w:p>
    <w:p>
      <w:r>
        <w:rPr>
          <w:rFonts w:ascii="Times New Roman" w:hAnsi="Times New Roman"/>
          <w:b w:val="0"/>
          <w:i w:val="0"/>
          <w:color w:val="000000"/>
          <w:sz w:val="24"/>
        </w:rPr>
        <w:t>Estimator: fractional logit with standardized predictors,</w:t>
      </w:r>
    </w:p>
    <w:p>
      <w:r>
        <w:rPr>
          <w:rFonts w:ascii="Times New Roman" w:hAnsi="Times New Roman"/>
          <w:b w:val="0"/>
          <w:i w:val="0"/>
          <w:color w:val="000000"/>
          <w:sz w:val="24"/>
        </w:rPr>
        <w:t xml:space="preserve">where L is portfolio concentration and M the crop-calendar mismatch. Inference: M49-subregion cluster bootstrap, B = 999, two-sided percentile 95% CI — selected after spatial-inference simulation rejected five-cluster CRVE (anti-conservative). Primary estimate: </w:t>
      </w:r>
      <m:oMath>
        <m:r>
          <m:rPr>
            <m:sty m:val="p"/>
          </m:rPr>
          <m:t>β3</m:t>
        </m:r>
      </m:oMath>
      <w:r>
        <w:rPr>
          <w:rFonts w:ascii="Times New Roman" w:hAnsi="Times New Roman"/>
          <w:b w:val="0"/>
          <w:i w:val="0"/>
          <w:color w:val="000000"/>
          <w:sz w:val="24"/>
        </w:rPr>
        <w:t xml:space="preserve"> = +0.0046 [−0.131, +0.143], p = 0.851.</w:t>
      </w:r>
    </w:p>
    <w:p>
      <w:pPr>
        <w:pStyle w:val="Heading2"/>
      </w:pPr>
      <w:r>
        <w:t>Subnational agriculture</w:t>
      </w:r>
    </w:p>
    <w:p>
      <w:pPr>
        <w:spacing w:before="80" w:after="80"/>
      </w:pPr>
      <m:oMathPara>
        <m:oMath>
          <m:sSub>
            <m:e>
              <m:r>
                <m:rPr>
                  <m:sty m:val="p"/>
                </m:rPr>
                <m:t>JSD</m:t>
              </m:r>
            </m:e>
            <m:sub>
              <m:r>
                <m:rPr>
                  <m:sty m:val="p"/>
                </m:rPr>
                <m:t>u</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I</m:t>
              </m:r>
            </m:e>
            <m:sub>
              <m:r>
                <m:rPr>
                  <m:sty m:val="p"/>
                </m:rPr>
                <m:t>u</m:t>
              </m:r>
            </m:sub>
          </m:sSub>
          <m:r>
            <m:rPr>
              <m:sty m:val="p"/>
            </m:rPr>
            <m:t> </m:t>
          </m:r>
          <m:r>
            <m:rPr>
              <m:sty m:val="p"/>
            </m:rPr>
            <m:t>+</m:t>
          </m:r>
          <m:r>
            <m:rPr>
              <m:sty m:val="p"/>
            </m:rPr>
            <m:t> </m:t>
          </m:r>
          <m:r>
            <m:rPr>
              <m:sty m:val="p"/>
            </m:rPr>
            <m:t>β2</m:t>
          </m:r>
          <m:r>
            <m:rPr>
              <m:sty m:val="p"/>
            </m:rPr>
            <m:t> </m:t>
          </m:r>
          <m:sSub>
            <m:e>
              <m:r>
                <m:rPr>
                  <m:sty m:val="p"/>
                </m:rPr>
                <m:t>M</m:t>
              </m:r>
            </m:e>
            <m:sub>
              <m:r>
                <m:rPr>
                  <m:sty m:val="p"/>
                </m:rPr>
                <m:t>u</m:t>
              </m:r>
            </m:sub>
          </m:sSub>
          <m:r>
            <m:rPr>
              <m:sty m:val="p"/>
            </m:rPr>
            <m:t> </m:t>
          </m:r>
          <m:r>
            <m:rPr>
              <m:sty m:val="p"/>
            </m:rPr>
            <m:t>+</m:t>
          </m:r>
          <m:r>
            <m:rPr>
              <m:sty m:val="p"/>
            </m:rPr>
            <m:t> </m:t>
          </m:r>
          <m:r>
            <m:rPr>
              <m:sty m:val="p"/>
            </m:rPr>
            <m:t>β3</m:t>
          </m:r>
          <m:r>
            <m:rPr>
              <m:sty m:val="p"/>
            </m:rPr>
            <m:t> </m:t>
          </m:r>
          <m:sSub>
            <m:e>
              <m:r>
                <m:rPr>
                  <m:sty m:val="p"/>
                </m:rPr>
                <m:t>I</m:t>
              </m:r>
            </m:e>
            <m:sub>
              <m:r>
                <m:rPr>
                  <m:sty m:val="p"/>
                </m:rPr>
                <m:t>u</m:t>
              </m:r>
            </m:sub>
          </m:sSub>
          <m:r>
            <m:rPr>
              <m:sty m:val="p"/>
            </m:rPr>
            <m:t> </m:t>
          </m:r>
          <m:sSub>
            <m:e>
              <m:r>
                <m:rPr>
                  <m:sty m:val="p"/>
                </m:rPr>
                <m:t>M</m:t>
              </m:r>
            </m:e>
            <m:sub>
              <m:r>
                <m:rPr>
                  <m:sty m:val="p"/>
                </m:rPr>
                <m:t>u</m:t>
              </m:r>
            </m:sub>
          </m:sSub>
          <m:r>
            <m:rPr>
              <m:sty m:val="p"/>
            </m:rPr>
            <m:t> </m:t>
          </m:r>
          <m:r>
            <m:rPr>
              <m:sty m:val="p"/>
            </m:rPr>
            <m:t>+</m:t>
          </m:r>
          <m:r>
            <m:rPr>
              <m:sty m:val="p"/>
            </m:rPr>
            <m:t> </m:t>
          </m:r>
          <m:sSub>
            <m:e>
              <m:r>
                <m:rPr>
                  <m:sty m:val="p"/>
                </m:rPr>
                <m:t>α</m:t>
              </m:r>
            </m:e>
            <m:sub>
              <m:r>
                <m:rPr>
                  <m:sty m:val="p"/>
                </m:rPr>
                <m:t>c(u)</m:t>
              </m:r>
            </m:sub>
          </m:sSub>
          <m:r>
            <m:rPr>
              <m:sty m:val="p"/>
            </m:rPr>
            <m:t> </m:t>
          </m:r>
          <m:r>
            <m:rPr>
              <m:sty m:val="p"/>
            </m:rPr>
            <m:t>+</m:t>
          </m:r>
          <m:r>
            <m:rPr>
              <m:sty m:val="p"/>
            </m:rPr>
            <m:t> </m:t>
          </m:r>
          <m:sSub>
            <m:e>
              <m:r>
                <m:rPr>
                  <m:sty m:val="p"/>
                </m:rPr>
                <m:t>ε</m:t>
              </m:r>
            </m:e>
            <m:sub>
              <m:r>
                <m:rPr>
                  <m:sty m:val="p"/>
                </m:rPr>
                <m:t>u</m:t>
              </m:r>
            </m:sub>
          </m:sSub>
        </m:oMath>
      </m:oMathPara>
    </w:p>
    <w:p>
      <w:r>
        <w:rPr>
          <w:rFonts w:ascii="Times New Roman" w:hAnsi="Times New Roman"/>
          <w:b w:val="0"/>
          <w:i w:val="0"/>
          <w:color w:val="000000"/>
          <w:sz w:val="24"/>
        </w:rPr>
        <w:t>First-level administrative units (N = 340 units, 23 countries, 4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w:t>
      </w:r>
    </w:p>
    <w:p>
      <w:r>
        <w:rPr>
          <w:rFonts w:ascii="Times New Roman" w:hAnsi="Times New Roman"/>
          <w:b w:val="0"/>
          <w:i w:val="0"/>
          <w:color w:val="000000"/>
          <w:sz w:val="24"/>
        </w:rPr>
        <w:t xml:space="preserve">where I is baseline irrigation share and α_c country fixed effects. Inference: 10-degree geographic-block bootstrap, B = 999 (calibrated by bounded-outcome simulation; country-cluster CRVE rejected as anti-conservative). Primary estimate: </w:t>
      </w:r>
      <m:oMath>
        <m:r>
          <m:rPr>
            <m:sty m:val="p"/>
          </m:rPr>
          <m:t>β3</m:t>
        </m:r>
      </m:oMath>
      <w:r>
        <w:rPr>
          <w:rFonts w:ascii="Times New Roman" w:hAnsi="Times New Roman"/>
          <w:b w:val="0"/>
          <w:i w:val="0"/>
          <w:color w:val="000000"/>
          <w:sz w:val="24"/>
        </w:rPr>
        <w:t xml:space="preserve"> = −0.0377 [−0.2513, +0.0773], p = 0.384.</w:t>
      </w:r>
    </w:p>
    <w:p>
      <w:pPr>
        <w:pStyle w:val="Heading2"/>
      </w:pPr>
      <w:r>
        <w:t>Flood-exposed urban settlements</w:t>
      </w:r>
    </w:p>
    <w:p>
      <w:pPr>
        <w:spacing w:before="80" w:after="80"/>
      </w:pPr>
      <m:oMathPara>
        <m:oMath>
          <m:sSub>
            <m:e>
              <m:r>
                <m:rPr>
                  <m:sty m:val="p"/>
                </m:rPr>
                <m:t>R</m:t>
              </m:r>
            </m:e>
            <m:sub>
              <m:r>
                <m:rPr>
                  <m:sty m:val="p"/>
                </m:rPr>
                <m:t>c</m:t>
              </m:r>
            </m:sub>
          </m:sSub>
          <m:r>
            <m:rPr>
              <m:sty m:val="p"/>
            </m:rPr>
            <m:t> </m:t>
          </m:r>
          <m:r>
            <m:rPr>
              <m:sty m:val="p"/>
            </m:rPr>
            <m:t>=</m:t>
          </m:r>
          <m:r>
            <m:rPr>
              <m:sty m:val="p"/>
            </m:rPr>
            <m:t> </m:t>
          </m:r>
          <m:r>
            <m:rPr>
              <m:sty m:val="p"/>
            </m:rPr>
            <m:t>β0</m:t>
          </m:r>
          <m:r>
            <m:rPr>
              <m:sty m:val="p"/>
            </m:rPr>
            <m:t> </m:t>
          </m:r>
          <m:r>
            <m:rPr>
              <m:sty m:val="p"/>
            </m:rPr>
            <m:t>+</m:t>
          </m:r>
          <m:r>
            <m:rPr>
              <m:sty m:val="p"/>
            </m:rPr>
            <m:t> </m:t>
          </m:r>
          <m:r>
            <m:rPr>
              <m:sty m:val="p"/>
            </m:rPr>
            <m:t>β1</m:t>
          </m:r>
          <m:r>
            <m:rPr>
              <m:sty m:val="p"/>
            </m:rPr>
            <m:t> </m:t>
          </m:r>
          <m:sSub>
            <m:e>
              <m:r>
                <m:rPr>
                  <m:sty m:val="p"/>
                </m:rPr>
                <m:t>B</m:t>
              </m:r>
            </m:e>
            <m:sub>
              <m:r>
                <m:rPr>
                  <m:sty m:val="p"/>
                </m:rPr>
                <m:t>c</m:t>
              </m:r>
            </m:sub>
          </m:sSub>
          <m:r>
            <m:rPr>
              <m:sty m:val="p"/>
            </m:rPr>
            <m:t> </m:t>
          </m:r>
          <m:r>
            <m:rPr>
              <m:sty m:val="p"/>
            </m:rPr>
            <m:t>+</m:t>
          </m:r>
          <m:r>
            <m:rPr>
              <m:sty m:val="p"/>
            </m:rPr>
            <m:t> </m:t>
          </m:r>
          <m:r>
            <m:rPr>
              <m:sty m:val="p"/>
            </m:rPr>
            <m:t>β2</m:t>
          </m:r>
          <m:r>
            <m:rPr>
              <m:sty m:val="p"/>
            </m:rPr>
            <m:t> </m:t>
          </m:r>
          <m:sSub>
            <m:e>
              <m:r>
                <m:rPr>
                  <m:sty m:val="p"/>
                </m:rPr>
                <m:t>F</m:t>
              </m:r>
            </m:e>
            <m:sub>
              <m:r>
                <m:rPr>
                  <m:sty m:val="p"/>
                </m:rPr>
                <m:t>c</m:t>
              </m:r>
            </m:sub>
          </m:sSub>
          <m:r>
            <m:rPr>
              <m:sty m:val="p"/>
            </m:rPr>
            <m:t> </m:t>
          </m:r>
          <m:r>
            <m:rPr>
              <m:sty m:val="p"/>
            </m:rPr>
            <m:t>+</m:t>
          </m:r>
          <m:r>
            <m:rPr>
              <m:sty m:val="p"/>
            </m:rPr>
            <m:t> </m:t>
          </m:r>
          <m:r>
            <m:rPr>
              <m:sty m:val="p"/>
            </m:rPr>
            <m:t>β3</m:t>
          </m:r>
          <m:r>
            <m:rPr>
              <m:sty m:val="p"/>
            </m:rPr>
            <m:t> </m:t>
          </m:r>
          <m:sSub>
            <m:e>
              <m:r>
                <m:rPr>
                  <m:sty m:val="p"/>
                </m:rPr>
                <m:t>B</m:t>
              </m:r>
            </m:e>
            <m:sub>
              <m:r>
                <m:rPr>
                  <m:sty m:val="p"/>
                </m:rPr>
                <m:t>c</m:t>
              </m:r>
            </m:sub>
          </m:sSub>
          <m:r>
            <m:rPr>
              <m:sty m:val="p"/>
            </m:rPr>
            <m:t> </m:t>
          </m:r>
          <m:sSub>
            <m:e>
              <m:r>
                <m:rPr>
                  <m:sty m:val="p"/>
                </m:rPr>
                <m:t>F</m:t>
              </m:r>
            </m:e>
            <m:sub>
              <m:r>
                <m:rPr>
                  <m:sty m:val="p"/>
                </m:rPr>
                <m:t>c</m:t>
              </m:r>
            </m:sub>
          </m:sSub>
          <m:r>
            <m:rPr>
              <m:sty m:val="p"/>
            </m:rPr>
            <m:t> </m:t>
          </m:r>
          <m:r>
            <m:rPr>
              <m:sty m:val="p"/>
            </m:rPr>
            <m:t>+</m:t>
          </m:r>
          <m:r>
            <m:rPr>
              <m:sty m:val="p"/>
            </m:rPr>
            <m:t> </m:t>
          </m:r>
          <m:sSub>
            <m:e>
              <m:r>
                <m:rPr>
                  <m:sty m:val="p"/>
                </m:rPr>
                <m:t>γ′X</m:t>
              </m:r>
            </m:e>
            <m:sub>
              <m:r>
                <m:rPr>
                  <m:sty m:val="p"/>
                </m:rPr>
                <m:t>c</m:t>
              </m:r>
            </m:sub>
          </m:sSub>
          <m:r>
            <m:rPr>
              <m:sty m:val="p"/>
            </m:rPr>
            <m:t> </m:t>
          </m:r>
          <m:r>
            <m:rPr>
              <m:sty m:val="p"/>
            </m:rPr>
            <m:t>+</m:t>
          </m:r>
          <m:r>
            <m:rPr>
              <m:sty m:val="p"/>
            </m:rPr>
            <m:t> </m:t>
          </m:r>
          <m:sSub>
            <m:e>
              <m:r>
                <m:rPr>
                  <m:sty m:val="p"/>
                </m:rPr>
                <m:t>α</m:t>
              </m:r>
            </m:e>
            <m:sub>
              <m:r>
                <m:rPr>
                  <m:sty m:val="p"/>
                </m:rPr>
                <m:t>c</m:t>
              </m:r>
            </m:sub>
          </m:sSub>
          <m:r>
            <m:rPr>
              <m:sty m:val="p"/>
            </m:rPr>
            <m:t> </m:t>
          </m:r>
          <m:r>
            <m:rPr>
              <m:sty m:val="p"/>
            </m:rPr>
            <m:t>+</m:t>
          </m:r>
          <m:r>
            <m:rPr>
              <m:sty m:val="p"/>
            </m:rPr>
            <m:t> </m:t>
          </m:r>
          <m:sSub>
            <m:e>
              <m:r>
                <m:rPr>
                  <m:sty m:val="p"/>
                </m:rPr>
                <m:t>ε</m:t>
              </m:r>
            </m:e>
            <m:sub>
              <m:r>
                <m:rPr>
                  <m:sty m:val="p"/>
                </m:rPr>
                <m:t>c</m:t>
              </m:r>
            </m:sub>
          </m:sSub>
        </m:oMath>
      </m:oMathPara>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 global river flood hazard maps</w:t>
      </w:r>
      <w:r>
        <w:rPr>
          <w:rFonts w:ascii="Times New Roman" w:hAnsi="Times New Roman"/>
          <w:color w:val="000000"/>
          <w:sz w:val="24"/>
          <w:vertAlign w:val="superscript"/>
        </w:rPr>
        <w:t>[48]</w:t>
      </w:r>
      <w:r>
        <w:rPr>
          <w:rFonts w:ascii="Times New Roman" w:hAnsi="Times New Roman"/>
          <w:b w:val="0"/>
          <w:i w:val="0"/>
          <w:color w:val="000000"/>
          <w:sz w:val="24"/>
        </w:rPr>
        <w:t xml:space="preserve"> as integrated in GHS-UCDB). Outcome: net hazard-avoidance reallocation index 2000→2020 (net shift of built volume out of exposed zones; not a gross-addition share). Estimator: OLS with country fixed effects and controls (log population, elevation, port distance, within-50 km urban-centre cover),</w:t>
      </w:r>
    </w:p>
    <w:p>
      <w:r>
        <w:rPr>
          <w:rFonts w:ascii="Times New Roman" w:hAnsi="Times New Roman"/>
          <w:b w:val="0"/>
          <w:i w:val="0"/>
          <w:color w:val="000000"/>
          <w:sz w:val="24"/>
        </w:rPr>
        <w:t xml:space="preserve">where B is standardized log built volume, F the baseline RP10 flood-exposed share and R the net hazard-avoidance reallocation index. Inference: 1,000-km Mollweide block bootstrap, B = 999. Primary estimate: </w:t>
      </w:r>
      <m:oMath>
        <m:r>
          <m:rPr>
            <m:sty m:val="p"/>
          </m:rPr>
          <m:t>β3</m:t>
        </m:r>
      </m:oMath>
      <w:r>
        <w:rPr>
          <w:rFonts w:ascii="Times New Roman" w:hAnsi="Times New Roman"/>
          <w:b w:val="0"/>
          <w:i w:val="0"/>
          <w:color w:val="000000"/>
          <w:sz w:val="24"/>
        </w:rPr>
        <w:t xml:space="preserve"> = −0.008275 [−0.0166, −0.0033], p = 0.002; original-scale marginal contrast </w:t>
      </w:r>
      <m:oMath>
        <m:r>
          <m:rPr>
            <m:sty m:val="p"/>
          </m:rPr>
          <m:t>ΔME</m:t>
        </m:r>
      </m:oMath>
      <w:r>
        <w:rPr>
          <w:rFonts w:ascii="Times New Roman" w:hAnsi="Times New Roman"/>
          <w:b w:val="0"/>
          <w:i w:val="0"/>
          <w:color w:val="000000"/>
          <w:sz w:val="24"/>
        </w:rPr>
        <w:t xml:space="preserve"> = −0.0102 [−0.0205, −0.0041]. Prespecified heterogeneity by coastal proximity, return period, capital-intensity scaling, hazard stratum and sea-level-rise subset.</w:t>
      </w:r>
    </w:p>
    <w:p>
      <w:pPr>
        <w:pStyle w:val="Heading2"/>
      </w:pPr>
      <w:r>
        <w:t>Settlement-transition initiation</w:t>
      </w:r>
    </w:p>
    <w:p>
      <w:pPr>
        <w:spacing w:before="80" w:after="80"/>
      </w:pPr>
      <m:oMathPara>
        <m:oMath>
          <m:r>
            <m:rPr>
              <m:sty m:val="p"/>
            </m:rPr>
            <m:t>cloglog</m:t>
          </m:r>
          <m:r>
            <m:rPr>
              <m:sty m:val="p"/>
            </m:rPr>
            <m:t>(</m:t>
          </m:r>
          <m:sSub>
            <m:e>
              <m:r>
                <m:rPr>
                  <m:sty m:val="p"/>
                </m:rPr>
                <m:t>h</m:t>
              </m:r>
            </m:e>
            <m:sub>
              <m:r>
                <m:rPr>
                  <m:sty m:val="p"/>
                </m:rPr>
                <m:t>ct)</m:t>
              </m:r>
            </m:sub>
          </m:sSub>
          <m:r>
            <m:rPr>
              <m:sty m:val="p"/>
            </m:rPr>
            <m:t> </m:t>
          </m:r>
          <m:r>
            <m:rPr>
              <m:sty m:val="p"/>
            </m:rPr>
            <m:t>=</m:t>
          </m:r>
          <m:r>
            <m:rPr>
              <m:sty m:val="p"/>
            </m:rPr>
            <m:t> </m:t>
          </m:r>
          <m:sSub>
            <m:e>
              <m:r>
                <m:rPr>
                  <m:sty m:val="p"/>
                </m:rPr>
                <m:t>α</m:t>
              </m:r>
            </m:e>
            <m:sub>
              <m:r>
                <m:rPr>
                  <m:sty m:val="p"/>
                </m:rPr>
                <m:t>t</m:t>
              </m:r>
            </m:sub>
          </m:sSub>
          <m:r>
            <m:rPr>
              <m:sty m:val="p"/>
            </m:rPr>
            <m:t> </m:t>
          </m:r>
          <m:r>
            <m:rPr>
              <m:sty m:val="p"/>
            </m:rPr>
            <m:t>+</m:t>
          </m:r>
          <m:r>
            <m:rPr>
              <m:sty m:val="p"/>
            </m:rPr>
            <m:t> </m:t>
          </m:r>
          <m:r>
            <m:rPr>
              <m:sty m:val="p"/>
            </m:rPr>
            <m:t>β1</m:t>
          </m:r>
          <m:r>
            <m:rPr>
              <m:sty m:val="p"/>
            </m:rPr>
            <m:t> </m:t>
          </m:r>
          <m:sSub>
            <m:e>
              <m:r>
                <m:rPr>
                  <m:sty m:val="p"/>
                </m:rPr>
                <m:t>D</m:t>
              </m:r>
            </m:e>
            <m:sub>
              <m:r>
                <m:rPr>
                  <m:sty m:val="p"/>
                </m:rPr>
                <m:t>ct</m:t>
              </m:r>
            </m:sub>
          </m:sSub>
          <m:r>
            <m:rPr>
              <m:sty m:val="p"/>
            </m:rPr>
            <m:t> </m:t>
          </m:r>
          <m:r>
            <m:rPr>
              <m:sty m:val="p"/>
            </m:rPr>
            <m:t>+</m:t>
          </m:r>
          <m:r>
            <m:rPr>
              <m:sty m:val="p"/>
            </m:rPr>
            <m:t> </m:t>
          </m:r>
          <m:r>
            <m:rPr>
              <m:sty m:val="p"/>
            </m:rPr>
            <m:t>β2</m:t>
          </m:r>
          <m:r>
            <m:rPr>
              <m:sty m:val="p"/>
            </m:rPr>
            <m:t> </m:t>
          </m:r>
          <m:sSub>
            <m:e>
              <m:r>
                <m:rPr>
                  <m:sty m:val="p"/>
                </m:rPr>
                <m:t>L</m:t>
              </m:r>
            </m:e>
            <m:sub>
              <m:r>
                <m:rPr>
                  <m:sty m:val="p"/>
                </m:rPr>
                <m:t>c</m:t>
              </m:r>
            </m:sub>
          </m:sSub>
          <m:r>
            <m:rPr>
              <m:sty m:val="p"/>
            </m:rPr>
            <m:t> </m:t>
          </m:r>
          <m:r>
            <m:rPr>
              <m:sty m:val="p"/>
            </m:rPr>
            <m:t>+</m:t>
          </m:r>
          <m:r>
            <m:rPr>
              <m:sty m:val="p"/>
            </m:rPr>
            <m:t> </m:t>
          </m:r>
          <m:r>
            <m:rPr>
              <m:sty m:val="p"/>
            </m:rPr>
            <m:t>β3</m:t>
          </m:r>
          <m:r>
            <m:rPr>
              <m:sty m:val="p"/>
            </m:rPr>
            <m:t> </m:t>
          </m:r>
          <m:sSub>
            <m:e>
              <m:r>
                <m:rPr>
                  <m:sty m:val="p"/>
                </m:rPr>
                <m:t>D</m:t>
              </m:r>
            </m:e>
            <m:sub>
              <m:r>
                <m:rPr>
                  <m:sty m:val="p"/>
                </m:rPr>
                <m:t>ct</m:t>
              </m:r>
            </m:sub>
          </m:sSub>
          <m:r>
            <m:rPr>
              <m:sty m:val="p"/>
            </m:rPr>
            <m:t> </m:t>
          </m:r>
          <m:sSub>
            <m:e>
              <m:r>
                <m:rPr>
                  <m:sty m:val="p"/>
                </m:rPr>
                <m:t>L</m:t>
              </m:r>
            </m:e>
            <m:sub>
              <m:r>
                <m:rPr>
                  <m:sty m:val="p"/>
                </m:rPr>
                <m:t>c</m:t>
              </m:r>
            </m:sub>
          </m:sSub>
          <m:r>
            <m:rPr>
              <m:sty m:val="p"/>
            </m:rPr>
            <m:t> </m:t>
          </m:r>
          <m:r>
            <m:rPr>
              <m:sty m:val="p"/>
            </m:rPr>
            <m:t>+</m:t>
          </m:r>
          <m:r>
            <m:rPr>
              <m:sty m:val="p"/>
            </m:rPr>
            <m:t> </m:t>
          </m:r>
          <m:r>
            <m:rPr>
              <m:sty m:val="p"/>
            </m:rPr>
            <m:t>β4</m:t>
          </m:r>
          <m:r>
            <m:rPr>
              <m:sty m:val="p"/>
            </m:rPr>
            <m:t> </m:t>
          </m:r>
          <m:sSub>
            <m:e>
              <m:r>
                <m:rPr>
                  <m:sty m:val="p"/>
                </m:rPr>
                <m:t>D</m:t>
              </m:r>
            </m:e>
            <m:sub>
              <m:r>
                <m:rPr>
                  <m:sty m:val="p"/>
                </m:rPr>
                <m:t>ct</m:t>
              </m:r>
            </m:sub>
          </m:sSub>
          <m:r>
            <m:rPr>
              <m:sty m:val="p"/>
            </m:rPr>
            <m:t> </m:t>
          </m:r>
          <m:sSub>
            <m:e>
              <m:r>
                <m:rPr>
                  <m:sty m:val="p"/>
                </m:rPr>
                <m:t>C</m:t>
              </m:r>
            </m:e>
            <m:sub>
              <m:r>
                <m:rPr>
                  <m:sty m:val="p"/>
                </m:rPr>
                <m:t>c</m:t>
              </m:r>
            </m:sub>
          </m:sSub>
          <m:r>
            <m:rPr>
              <m:sty m:val="p"/>
            </m:rPr>
            <m:t> </m:t>
          </m:r>
          <m:r>
            <m:rPr>
              <m:sty m:val="p"/>
            </m:rPr>
            <m:t>+</m:t>
          </m:r>
          <m:r>
            <m:rPr>
              <m:sty m:val="p"/>
            </m:rPr>
            <m:t> </m:t>
          </m:r>
          <m:sSub>
            <m:e>
              <m:r>
                <m:rPr>
                  <m:sty m:val="p"/>
                </m:rPr>
                <m:t>γ′X</m:t>
              </m:r>
            </m:e>
            <m:sub>
              <m:r>
                <m:rPr>
                  <m:sty m:val="p"/>
                </m:rPr>
                <m:t>ct</m:t>
              </m:r>
            </m:sub>
          </m:sSub>
          <m:r>
            <m:rPr>
              <m:sty m:val="p"/>
            </m:rPr>
            <m:t> </m:t>
          </m:r>
          <m:r>
            <m:rPr>
              <m:sty m:val="p"/>
            </m:rPr>
            <m:t>+</m:t>
          </m:r>
          <m:r>
            <m:rPr>
              <m:sty m:val="p"/>
            </m:rPr>
            <m:t> </m:t>
          </m:r>
          <m:sSub>
            <m:e>
              <m:r>
                <m:rPr>
                  <m:sty m:val="p"/>
                </m:rPr>
                <m:t>μ</m:t>
              </m:r>
            </m:e>
            <m:sub>
              <m:r>
                <m:rPr>
                  <m:sty m:val="p"/>
                </m:rPr>
                <m:t>s(c)</m:t>
              </m:r>
            </m:sub>
          </m:sSub>
        </m:oMath>
      </m:oMathPara>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w:t>
      </w:r>
    </w:p>
    <w:p>
      <w:r>
        <w:rPr>
          <w:rFonts w:ascii="Times New Roman" w:hAnsi="Times New Roman"/>
          <w:b w:val="0"/>
          <w:i w:val="0"/>
          <w:color w:val="000000"/>
          <w:sz w:val="24"/>
        </w:rPr>
        <w:t>where D is the lagged flood-declaration burden, L housing-stock age (legacy) and C prior departure-programme capacity.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 (N = 64,302 county-years).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(REPRODUCIBILITY_BUNDLE_NS_FINAL.zip) and the public repository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in the integrated public repository at https://github.com/bougtoir/legacy-lockin-manuscript.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in the public repository at https://github.com/bougtoir/legacy-lockin-manuscript. A versioned archival release will be deposited in a persistent repository upon acceptance.</w:t>
      </w:r>
    </w:p>
    <w:p>
      <w:pPr>
        <w:pStyle w:val="Heading1"/>
      </w:pPr>
      <w:r>
        <w:t>Acknowledgements</w:t>
      </w:r>
    </w:p>
    <w:p>
      <w:r>
        <w:rPr>
          <w:rFonts w:ascii="Times New Roman" w:hAnsi="Times New Roman"/>
          <w:b w:val="0"/>
          <w:i w:val="0"/>
          <w:color w:val="000000"/>
          <w:sz w:val="24"/>
        </w:rPr>
        <w:t>None.</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 xml:space="preserve">1. Unruh, G. C. Understanding carbon lock-in. </w:t>
      </w:r>
      <w:r>
        <w:rPr>
          <w:rFonts w:ascii="Times New Roman" w:hAnsi="Times New Roman"/>
          <w:b w:val="0"/>
          <w:i/>
          <w:color w:val="000000"/>
          <w:sz w:val="20"/>
        </w:rPr>
        <w:t>Energy Policy</w:t>
      </w:r>
      <w:r>
        <w:rPr>
          <w:rFonts w:ascii="Times New Roman" w:hAnsi="Times New Roman"/>
          <w:b w:val="0"/>
          <w:i w:val="0"/>
          <w:color w:val="000000"/>
          <w:sz w:val="20"/>
        </w:rPr>
        <w:t xml:space="preserve"> 28, 817–830 (2000).</w:t>
      </w:r>
    </w:p>
    <w:p>
      <w:r>
        <w:rPr>
          <w:rFonts w:ascii="Times New Roman" w:hAnsi="Times New Roman"/>
          <w:b w:val="0"/>
          <w:i w:val="0"/>
          <w:color w:val="000000"/>
          <w:sz w:val="20"/>
        </w:rPr>
        <w:t xml:space="preserve">2. Seto, K. C. et al. Carbon lock-in: types, causes, and policy implications. </w:t>
      </w:r>
      <w:r>
        <w:rPr>
          <w:rFonts w:ascii="Times New Roman" w:hAnsi="Times New Roman"/>
          <w:b w:val="0"/>
          <w:i/>
          <w:color w:val="000000"/>
          <w:sz w:val="20"/>
        </w:rPr>
        <w:t>Annu. Rev. Environ. Resour.</w:t>
      </w:r>
      <w:r>
        <w:rPr>
          <w:rFonts w:ascii="Times New Roman" w:hAnsi="Times New Roman"/>
          <w:b w:val="0"/>
          <w:i w:val="0"/>
          <w:color w:val="000000"/>
          <w:sz w:val="20"/>
        </w:rPr>
        <w:t xml:space="preserve"> 41, 425–452 (2016).</w:t>
      </w:r>
    </w:p>
    <w:p>
      <w:r>
        <w:rPr>
          <w:rFonts w:ascii="Times New Roman" w:hAnsi="Times New Roman"/>
          <w:b w:val="0"/>
          <w:i w:val="0"/>
          <w:color w:val="000000"/>
          <w:sz w:val="20"/>
        </w:rPr>
        <w:t xml:space="preserve">3. David, P. A. Clio and the economics of QWERTY: the necessity of history. </w:t>
      </w:r>
      <w:r>
        <w:rPr>
          <w:rFonts w:ascii="Times New Roman" w:hAnsi="Times New Roman"/>
          <w:b w:val="0"/>
          <w:i/>
          <w:color w:val="000000"/>
          <w:sz w:val="20"/>
        </w:rPr>
        <w:t>Am. Econ. Rev.</w:t>
      </w:r>
      <w:r>
        <w:rPr>
          <w:rFonts w:ascii="Times New Roman" w:hAnsi="Times New Roman"/>
          <w:b w:val="0"/>
          <w:i w:val="0"/>
          <w:color w:val="000000"/>
          <w:sz w:val="20"/>
        </w:rPr>
        <w:t xml:space="preserve"> 75, 332–337 (1985).</w:t>
      </w:r>
    </w:p>
    <w:p>
      <w:r>
        <w:rPr>
          <w:rFonts w:ascii="Times New Roman" w:hAnsi="Times New Roman"/>
          <w:b w:val="0"/>
          <w:i w:val="0"/>
          <w:color w:val="000000"/>
          <w:sz w:val="20"/>
        </w:rPr>
        <w:t xml:space="preserve">4. Arthur, W. B. Competing technologies, increasing returns, and lock-in by historical events. </w:t>
      </w:r>
      <w:r>
        <w:rPr>
          <w:rFonts w:ascii="Times New Roman" w:hAnsi="Times New Roman"/>
          <w:b w:val="0"/>
          <w:i/>
          <w:color w:val="000000"/>
          <w:sz w:val="20"/>
        </w:rPr>
        <w:t>Econ. J.</w:t>
      </w:r>
      <w:r>
        <w:rPr>
          <w:rFonts w:ascii="Times New Roman" w:hAnsi="Times New Roman"/>
          <w:b w:val="0"/>
          <w:i w:val="0"/>
          <w:color w:val="000000"/>
          <w:sz w:val="20"/>
        </w:rPr>
        <w:t xml:space="preserve"> 99, 116–131 (1989).</w:t>
      </w:r>
    </w:p>
    <w:p>
      <w:r>
        <w:rPr>
          <w:rFonts w:ascii="Times New Roman" w:hAnsi="Times New Roman"/>
          <w:b w:val="0"/>
          <w:i w:val="0"/>
          <w:color w:val="000000"/>
          <w:sz w:val="20"/>
        </w:rPr>
        <w:t xml:space="preserve">5. North, D. C. </w:t>
      </w:r>
      <w:r>
        <w:rPr>
          <w:rFonts w:ascii="Times New Roman" w:hAnsi="Times New Roman"/>
          <w:b w:val="0"/>
          <w:i/>
          <w:color w:val="000000"/>
          <w:sz w:val="20"/>
        </w:rPr>
        <w:t>Institutions, Institutional Change and Economic Performance</w:t>
      </w:r>
      <w:r>
        <w:rPr>
          <w:rFonts w:ascii="Times New Roman" w:hAnsi="Times New Roman"/>
          <w:b w:val="0"/>
          <w:i w:val="0"/>
          <w:color w:val="000000"/>
          <w:sz w:val="20"/>
        </w:rPr>
        <w:t xml:space="preserve"> (Cambridge Univ. Press, 1990).</w:t>
      </w:r>
    </w:p>
    <w:p>
      <w:r>
        <w:rPr>
          <w:rFonts w:ascii="Times New Roman" w:hAnsi="Times New Roman"/>
          <w:b w:val="0"/>
          <w:i w:val="0"/>
          <w:color w:val="000000"/>
          <w:sz w:val="20"/>
        </w:rPr>
        <w:t xml:space="preserve">6. Page, S. E. Path dependence. </w:t>
      </w:r>
      <w:r>
        <w:rPr>
          <w:rFonts w:ascii="Times New Roman" w:hAnsi="Times New Roman"/>
          <w:b w:val="0"/>
          <w:i/>
          <w:color w:val="000000"/>
          <w:sz w:val="20"/>
        </w:rPr>
        <w:t>Q. J. Polit. Sci.</w:t>
      </w:r>
      <w:r>
        <w:rPr>
          <w:rFonts w:ascii="Times New Roman" w:hAnsi="Times New Roman"/>
          <w:b w:val="0"/>
          <w:i w:val="0"/>
          <w:color w:val="000000"/>
          <w:sz w:val="20"/>
        </w:rPr>
        <w:t xml:space="preserve"> 1, 87–115 (2006).</w:t>
      </w:r>
    </w:p>
    <w:p>
      <w:r>
        <w:rPr>
          <w:rFonts w:ascii="Times New Roman" w:hAnsi="Times New Roman"/>
          <w:b w:val="0"/>
          <w:i w:val="0"/>
          <w:color w:val="000000"/>
          <w:sz w:val="20"/>
        </w:rPr>
        <w:t xml:space="preserve">7. Geels, F. W. Technological transitions as evolutionary reconfiguration processes: a multi-level perspective and a case-study. </w:t>
      </w:r>
      <w:r>
        <w:rPr>
          <w:rFonts w:ascii="Times New Roman" w:hAnsi="Times New Roman"/>
          <w:b w:val="0"/>
          <w:i/>
          <w:color w:val="000000"/>
          <w:sz w:val="20"/>
        </w:rPr>
        <w:t>Res. Policy</w:t>
      </w:r>
      <w:r>
        <w:rPr>
          <w:rFonts w:ascii="Times New Roman" w:hAnsi="Times New Roman"/>
          <w:b w:val="0"/>
          <w:i w:val="0"/>
          <w:color w:val="000000"/>
          <w:sz w:val="20"/>
        </w:rPr>
        <w:t xml:space="preserve"> 31, 1257–1274 (2002).</w:t>
      </w:r>
    </w:p>
    <w:p>
      <w:r>
        <w:rPr>
          <w:rFonts w:ascii="Times New Roman" w:hAnsi="Times New Roman"/>
          <w:b w:val="0"/>
          <w:i w:val="0"/>
          <w:color w:val="000000"/>
          <w:sz w:val="20"/>
        </w:rPr>
        <w:t xml:space="preserve">8. Markard, J., Raven, R. &amp; Truffer, B. Sustainability transitions: an emerging field of research and its prospects. </w:t>
      </w:r>
      <w:r>
        <w:rPr>
          <w:rFonts w:ascii="Times New Roman" w:hAnsi="Times New Roman"/>
          <w:b w:val="0"/>
          <w:i/>
          <w:color w:val="000000"/>
          <w:sz w:val="20"/>
        </w:rPr>
        <w:t>Res. Policy</w:t>
      </w:r>
      <w:r>
        <w:rPr>
          <w:rFonts w:ascii="Times New Roman" w:hAnsi="Times New Roman"/>
          <w:b w:val="0"/>
          <w:i w:val="0"/>
          <w:color w:val="000000"/>
          <w:sz w:val="20"/>
        </w:rPr>
        <w:t xml:space="preserve"> 41, 955–967 (2012).</w:t>
      </w:r>
    </w:p>
    <w:p>
      <w:r>
        <w:rPr>
          <w:rFonts w:ascii="Times New Roman" w:hAnsi="Times New Roman"/>
          <w:b w:val="0"/>
          <w:i w:val="0"/>
          <w:color w:val="000000"/>
          <w:sz w:val="20"/>
        </w:rPr>
        <w:t xml:space="preserve">9. Köhler, J. et al. An agenda for sustainability transitions research: state of the art and future directions. </w:t>
      </w:r>
      <w:r>
        <w:rPr>
          <w:rFonts w:ascii="Times New Roman" w:hAnsi="Times New Roman"/>
          <w:b w:val="0"/>
          <w:i/>
          <w:color w:val="000000"/>
          <w:sz w:val="20"/>
        </w:rPr>
        <w:t>Environ. Innov. Soc. Transit.</w:t>
      </w:r>
      <w:r>
        <w:rPr>
          <w:rFonts w:ascii="Times New Roman" w:hAnsi="Times New Roman"/>
          <w:b w:val="0"/>
          <w:i w:val="0"/>
          <w:color w:val="000000"/>
          <w:sz w:val="20"/>
        </w:rPr>
        <w:t xml:space="preserve"> 31, 1–32 (2019).</w:t>
      </w:r>
    </w:p>
    <w:p>
      <w:r>
        <w:rPr>
          <w:rFonts w:ascii="Times New Roman" w:hAnsi="Times New Roman"/>
          <w:b w:val="0"/>
          <w:i w:val="0"/>
          <w:color w:val="000000"/>
          <w:sz w:val="20"/>
        </w:rPr>
        <w:t xml:space="preserve">10. Barnett, J. &amp; O'Neill, S. Maladaptation. </w:t>
      </w:r>
      <w:r>
        <w:rPr>
          <w:rFonts w:ascii="Times New Roman" w:hAnsi="Times New Roman"/>
          <w:b w:val="0"/>
          <w:i/>
          <w:color w:val="000000"/>
          <w:sz w:val="20"/>
        </w:rPr>
        <w:t>Glob. Environ. Change</w:t>
      </w:r>
      <w:r>
        <w:rPr>
          <w:rFonts w:ascii="Times New Roman" w:hAnsi="Times New Roman"/>
          <w:b w:val="0"/>
          <w:i w:val="0"/>
          <w:color w:val="000000"/>
          <w:sz w:val="20"/>
        </w:rPr>
        <w:t xml:space="preserve"> 20, 211–213 (2010).</w:t>
      </w:r>
    </w:p>
    <w:p>
      <w:r>
        <w:rPr>
          <w:rFonts w:ascii="Times New Roman" w:hAnsi="Times New Roman"/>
          <w:b w:val="0"/>
          <w:i w:val="0"/>
          <w:color w:val="000000"/>
          <w:sz w:val="20"/>
        </w:rPr>
        <w:t xml:space="preserve">11. Magnan, A. K. et al. Addressing the risk of maladaptation to climate change. </w:t>
      </w:r>
      <w:r>
        <w:rPr>
          <w:rFonts w:ascii="Times New Roman" w:hAnsi="Times New Roman"/>
          <w:b w:val="0"/>
          <w:i/>
          <w:color w:val="000000"/>
          <w:sz w:val="20"/>
        </w:rPr>
        <w:t>WIREs Clim. Change</w:t>
      </w:r>
      <w:r>
        <w:rPr>
          <w:rFonts w:ascii="Times New Roman" w:hAnsi="Times New Roman"/>
          <w:b w:val="0"/>
          <w:i w:val="0"/>
          <w:color w:val="000000"/>
          <w:sz w:val="20"/>
        </w:rPr>
        <w:t xml:space="preserve"> 7, 646–665 (2016).</w:t>
      </w:r>
    </w:p>
    <w:p>
      <w:r>
        <w:rPr>
          <w:rFonts w:ascii="Times New Roman" w:hAnsi="Times New Roman"/>
          <w:b w:val="0"/>
          <w:i w:val="0"/>
          <w:color w:val="000000"/>
          <w:sz w:val="20"/>
        </w:rPr>
        <w:t xml:space="preserve">12. Juhola, S., Glaas, E., Linnér, B.-O. &amp; Neset, T.-S. Redefining maladaptation. </w:t>
      </w:r>
      <w:r>
        <w:rPr>
          <w:rFonts w:ascii="Times New Roman" w:hAnsi="Times New Roman"/>
          <w:b w:val="0"/>
          <w:i/>
          <w:color w:val="000000"/>
          <w:sz w:val="20"/>
        </w:rPr>
        <w:t>Environ. Sci. Policy</w:t>
      </w:r>
      <w:r>
        <w:rPr>
          <w:rFonts w:ascii="Times New Roman" w:hAnsi="Times New Roman"/>
          <w:b w:val="0"/>
          <w:i w:val="0"/>
          <w:color w:val="000000"/>
          <w:sz w:val="20"/>
        </w:rPr>
        <w:t xml:space="preserve"> 55, 135–140 (2016).</w:t>
      </w:r>
    </w:p>
    <w:p>
      <w:r>
        <w:rPr>
          <w:rFonts w:ascii="Times New Roman" w:hAnsi="Times New Roman"/>
          <w:b w:val="0"/>
          <w:i w:val="0"/>
          <w:color w:val="000000"/>
          <w:sz w:val="20"/>
        </w:rPr>
        <w:t xml:space="preserve">13. Eriksen, S. et al. Adaptation interventions and their effect on vulnerability in developing countries: help, hindrance or irrelevance? </w:t>
      </w:r>
      <w:r>
        <w:rPr>
          <w:rFonts w:ascii="Times New Roman" w:hAnsi="Times New Roman"/>
          <w:b w:val="0"/>
          <w:i/>
          <w:color w:val="000000"/>
          <w:sz w:val="20"/>
        </w:rPr>
        <w:t>World Dev.</w:t>
      </w:r>
      <w:r>
        <w:rPr>
          <w:rFonts w:ascii="Times New Roman" w:hAnsi="Times New Roman"/>
          <w:b w:val="0"/>
          <w:i w:val="0"/>
          <w:color w:val="000000"/>
          <w:sz w:val="20"/>
        </w:rPr>
        <w:t xml:space="preserve"> 141, 105383 (2021).</w:t>
      </w:r>
    </w:p>
    <w:p>
      <w:r>
        <w:rPr>
          <w:rFonts w:ascii="Times New Roman" w:hAnsi="Times New Roman"/>
          <w:b w:val="0"/>
          <w:i w:val="0"/>
          <w:color w:val="000000"/>
          <w:sz w:val="20"/>
        </w:rPr>
        <w:t xml:space="preserve">14. Dow, K. et al. Limits to adaptation. </w:t>
      </w:r>
      <w:r>
        <w:rPr>
          <w:rFonts w:ascii="Times New Roman" w:hAnsi="Times New Roman"/>
          <w:b w:val="0"/>
          <w:i/>
          <w:color w:val="000000"/>
          <w:sz w:val="20"/>
        </w:rPr>
        <w:t>Nat. Clim. Change</w:t>
      </w:r>
      <w:r>
        <w:rPr>
          <w:rFonts w:ascii="Times New Roman" w:hAnsi="Times New Roman"/>
          <w:b w:val="0"/>
          <w:i w:val="0"/>
          <w:color w:val="000000"/>
          <w:sz w:val="20"/>
        </w:rPr>
        <w:t xml:space="preserve"> 3, 305–307 (2013).</w:t>
      </w:r>
    </w:p>
    <w:p>
      <w:r>
        <w:rPr>
          <w:rFonts w:ascii="Times New Roman" w:hAnsi="Times New Roman"/>
          <w:b w:val="0"/>
          <w:i w:val="0"/>
          <w:color w:val="000000"/>
          <w:sz w:val="20"/>
        </w:rPr>
        <w:t xml:space="preserve">15. Schipper, E. L. F. Maladaptation: when adaptation to climate change goes very wrong. </w:t>
      </w:r>
      <w:r>
        <w:rPr>
          <w:rFonts w:ascii="Times New Roman" w:hAnsi="Times New Roman"/>
          <w:b w:val="0"/>
          <w:i/>
          <w:color w:val="000000"/>
          <w:sz w:val="20"/>
        </w:rPr>
        <w:t>One Earth</w:t>
      </w:r>
      <w:r>
        <w:rPr>
          <w:rFonts w:ascii="Times New Roman" w:hAnsi="Times New Roman"/>
          <w:b w:val="0"/>
          <w:i w:val="0"/>
          <w:color w:val="000000"/>
          <w:sz w:val="20"/>
        </w:rPr>
        <w:t xml:space="preserve"> 3, 409–414 (2020).</w:t>
      </w:r>
    </w:p>
    <w:p>
      <w:r>
        <w:rPr>
          <w:rFonts w:ascii="Times New Roman" w:hAnsi="Times New Roman"/>
          <w:b w:val="0"/>
          <w:i w:val="0"/>
          <w:color w:val="000000"/>
          <w:sz w:val="20"/>
        </w:rPr>
        <w:t xml:space="preserve">16. Moser, S. C. &amp; Ekstrom, J. A. A framework to diagnose barriers to climate change adaptation. </w:t>
      </w:r>
      <w:r>
        <w:rPr>
          <w:rFonts w:ascii="Times New Roman" w:hAnsi="Times New Roman"/>
          <w:b w:val="0"/>
          <w:i/>
          <w:color w:val="000000"/>
          <w:sz w:val="20"/>
        </w:rPr>
        <w:t>Proc. Natl Acad. Sci. USA</w:t>
      </w:r>
      <w:r>
        <w:rPr>
          <w:rFonts w:ascii="Times New Roman" w:hAnsi="Times New Roman"/>
          <w:b w:val="0"/>
          <w:i w:val="0"/>
          <w:color w:val="000000"/>
          <w:sz w:val="20"/>
        </w:rPr>
        <w:t xml:space="preserve"> 107, 22026–22031 (2010).</w:t>
      </w:r>
    </w:p>
    <w:p>
      <w:r>
        <w:rPr>
          <w:rFonts w:ascii="Times New Roman" w:hAnsi="Times New Roman"/>
          <w:b w:val="0"/>
          <w:i w:val="0"/>
          <w:color w:val="000000"/>
          <w:sz w:val="20"/>
        </w:rPr>
        <w:t xml:space="preserve">17. Biesbroek, G. R. et al. On the nature of barriers to climate change adaptation. </w:t>
      </w:r>
      <w:r>
        <w:rPr>
          <w:rFonts w:ascii="Times New Roman" w:hAnsi="Times New Roman"/>
          <w:b w:val="0"/>
          <w:i/>
          <w:color w:val="000000"/>
          <w:sz w:val="20"/>
        </w:rPr>
        <w:t>Reg. Environ. Change</w:t>
      </w:r>
      <w:r>
        <w:rPr>
          <w:rFonts w:ascii="Times New Roman" w:hAnsi="Times New Roman"/>
          <w:b w:val="0"/>
          <w:i w:val="0"/>
          <w:color w:val="000000"/>
          <w:sz w:val="20"/>
        </w:rPr>
        <w:t xml:space="preserve"> 13, 1119–1129 (2013).</w:t>
      </w:r>
    </w:p>
    <w:p>
      <w:r>
        <w:rPr>
          <w:rFonts w:ascii="Times New Roman" w:hAnsi="Times New Roman"/>
          <w:b w:val="0"/>
          <w:i w:val="0"/>
          <w:color w:val="000000"/>
          <w:sz w:val="20"/>
        </w:rPr>
        <w:t xml:space="preserve">18. Kates, R. W., Travis, W. R. &amp; Wilbanks, T. J. Transformational adaptation when incremental adaptations to climate change are insufficient. </w:t>
      </w:r>
      <w:r>
        <w:rPr>
          <w:rFonts w:ascii="Times New Roman" w:hAnsi="Times New Roman"/>
          <w:b w:val="0"/>
          <w:i/>
          <w:color w:val="000000"/>
          <w:sz w:val="20"/>
        </w:rPr>
        <w:t>Proc. Natl Acad. Sci. USA</w:t>
      </w:r>
      <w:r>
        <w:rPr>
          <w:rFonts w:ascii="Times New Roman" w:hAnsi="Times New Roman"/>
          <w:b w:val="0"/>
          <w:i w:val="0"/>
          <w:color w:val="000000"/>
          <w:sz w:val="20"/>
        </w:rPr>
        <w:t xml:space="preserve"> 109, 7156–7161 (2012).</w:t>
      </w:r>
    </w:p>
    <w:p>
      <w:r>
        <w:rPr>
          <w:rFonts w:ascii="Times New Roman" w:hAnsi="Times New Roman"/>
          <w:b w:val="0"/>
          <w:i w:val="0"/>
          <w:color w:val="000000"/>
          <w:sz w:val="20"/>
        </w:rPr>
        <w:t xml:space="preserve">19. Fedele, G., Donatti, C. I., Harvey, C. A., Hannah, L. &amp; Hole, D. G. Transformative adaptation to climate change for sustainable social-ecological systems. </w:t>
      </w:r>
      <w:r>
        <w:rPr>
          <w:rFonts w:ascii="Times New Roman" w:hAnsi="Times New Roman"/>
          <w:b w:val="0"/>
          <w:i/>
          <w:color w:val="000000"/>
          <w:sz w:val="20"/>
        </w:rPr>
        <w:t>Environ. Sci. Policy</w:t>
      </w:r>
      <w:r>
        <w:rPr>
          <w:rFonts w:ascii="Times New Roman" w:hAnsi="Times New Roman"/>
          <w:b w:val="0"/>
          <w:i w:val="0"/>
          <w:color w:val="000000"/>
          <w:sz w:val="20"/>
        </w:rPr>
        <w:t xml:space="preserve"> 101, 116–125 (2019).</w:t>
      </w:r>
    </w:p>
    <w:p>
      <w:r>
        <w:rPr>
          <w:rFonts w:ascii="Times New Roman" w:hAnsi="Times New Roman"/>
          <w:b w:val="0"/>
          <w:i w:val="0"/>
          <w:color w:val="000000"/>
          <w:sz w:val="20"/>
        </w:rPr>
        <w:t xml:space="preserve">20. Gajjar, S. P., Singh, C. &amp; Deshpande, T. Tracing back to move ahead: a review of development pathways that constrain adaptation futures. </w:t>
      </w:r>
      <w:r>
        <w:rPr>
          <w:rFonts w:ascii="Times New Roman" w:hAnsi="Times New Roman"/>
          <w:b w:val="0"/>
          <w:i/>
          <w:color w:val="000000"/>
          <w:sz w:val="20"/>
        </w:rPr>
        <w:t>Clim. Dev.</w:t>
      </w:r>
      <w:r>
        <w:rPr>
          <w:rFonts w:ascii="Times New Roman" w:hAnsi="Times New Roman"/>
          <w:b w:val="0"/>
          <w:i w:val="0"/>
          <w:color w:val="000000"/>
          <w:sz w:val="20"/>
        </w:rPr>
        <w:t xml:space="preserve"> 11, 223–237 (2019).</w:t>
      </w:r>
    </w:p>
    <w:p>
      <w:r>
        <w:rPr>
          <w:rFonts w:ascii="Times New Roman" w:hAnsi="Times New Roman"/>
          <w:b w:val="0"/>
          <w:i w:val="0"/>
          <w:color w:val="000000"/>
          <w:sz w:val="20"/>
        </w:rPr>
        <w:t xml:space="preserve">21. Adger, W. N. et al. Adaptation to climate change in the developing world. </w:t>
      </w:r>
      <w:r>
        <w:rPr>
          <w:rFonts w:ascii="Times New Roman" w:hAnsi="Times New Roman"/>
          <w:b w:val="0"/>
          <w:i/>
          <w:color w:val="000000"/>
          <w:sz w:val="20"/>
        </w:rPr>
        <w:t>Prog. Dev. Stud.</w:t>
      </w:r>
      <w:r>
        <w:rPr>
          <w:rFonts w:ascii="Times New Roman" w:hAnsi="Times New Roman"/>
          <w:b w:val="0"/>
          <w:i w:val="0"/>
          <w:color w:val="000000"/>
          <w:sz w:val="20"/>
        </w:rPr>
        <w:t xml:space="preserve"> 3, 179–195 (2003).</w:t>
      </w:r>
    </w:p>
    <w:p>
      <w:r>
        <w:rPr>
          <w:rFonts w:ascii="Times New Roman" w:hAnsi="Times New Roman"/>
          <w:b w:val="0"/>
          <w:i w:val="0"/>
          <w:color w:val="000000"/>
          <w:sz w:val="20"/>
        </w:rPr>
        <w:t xml:space="preserve">22. Mendelsohn, R., Nordhaus, W. D. &amp; Shaw, D. The impact of global warming on agriculture: a Ricardian analysis. </w:t>
      </w:r>
      <w:r>
        <w:rPr>
          <w:rFonts w:ascii="Times New Roman" w:hAnsi="Times New Roman"/>
          <w:b w:val="0"/>
          <w:i/>
          <w:color w:val="000000"/>
          <w:sz w:val="20"/>
        </w:rPr>
        <w:t>Am. Econ. Rev.</w:t>
      </w:r>
      <w:r>
        <w:rPr>
          <w:rFonts w:ascii="Times New Roman" w:hAnsi="Times New Roman"/>
          <w:b w:val="0"/>
          <w:i w:val="0"/>
          <w:color w:val="000000"/>
          <w:sz w:val="20"/>
        </w:rPr>
        <w:t xml:space="preserve"> 84, 753–771 (1994).</w:t>
      </w:r>
    </w:p>
    <w:p>
      <w:r>
        <w:rPr>
          <w:rFonts w:ascii="Times New Roman" w:hAnsi="Times New Roman"/>
          <w:b w:val="0"/>
          <w:i w:val="0"/>
          <w:color w:val="000000"/>
          <w:sz w:val="20"/>
        </w:rPr>
        <w:t xml:space="preserve">23. Deschênes, O. &amp; Greenstone, M. The economic impacts of climate change: evidence from agricultural output and random fluctuations in weather. </w:t>
      </w:r>
      <w:r>
        <w:rPr>
          <w:rFonts w:ascii="Times New Roman" w:hAnsi="Times New Roman"/>
          <w:b w:val="0"/>
          <w:i/>
          <w:color w:val="000000"/>
          <w:sz w:val="20"/>
        </w:rPr>
        <w:t>Am. Econ. Rev.</w:t>
      </w:r>
      <w:r>
        <w:rPr>
          <w:rFonts w:ascii="Times New Roman" w:hAnsi="Times New Roman"/>
          <w:b w:val="0"/>
          <w:i w:val="0"/>
          <w:color w:val="000000"/>
          <w:sz w:val="20"/>
        </w:rPr>
        <w:t xml:space="preserve"> 97, 354–385 (2007).</w:t>
      </w:r>
    </w:p>
    <w:p>
      <w:r>
        <w:rPr>
          <w:rFonts w:ascii="Times New Roman" w:hAnsi="Times New Roman"/>
          <w:b w:val="0"/>
          <w:i w:val="0"/>
          <w:color w:val="000000"/>
          <w:sz w:val="20"/>
        </w:rPr>
        <w:t xml:space="preserve">24. Hornbeck, R. The enduring impact of the American Dust Bowl: short- and long-run adjustments to environmental catastrophe. </w:t>
      </w:r>
      <w:r>
        <w:rPr>
          <w:rFonts w:ascii="Times New Roman" w:hAnsi="Times New Roman"/>
          <w:b w:val="0"/>
          <w:i/>
          <w:color w:val="000000"/>
          <w:sz w:val="20"/>
        </w:rPr>
        <w:t>Am. Econ. Rev.</w:t>
      </w:r>
      <w:r>
        <w:rPr>
          <w:rFonts w:ascii="Times New Roman" w:hAnsi="Times New Roman"/>
          <w:b w:val="0"/>
          <w:i w:val="0"/>
          <w:color w:val="000000"/>
          <w:sz w:val="20"/>
        </w:rPr>
        <w:t xml:space="preserve"> 102, 1477–1507 (2012).</w:t>
      </w:r>
    </w:p>
    <w:p>
      <w:r>
        <w:rPr>
          <w:rFonts w:ascii="Times New Roman" w:hAnsi="Times New Roman"/>
          <w:b w:val="0"/>
          <w:i w:val="0"/>
          <w:color w:val="000000"/>
          <w:sz w:val="20"/>
        </w:rPr>
        <w:t xml:space="preserve">25. Hornbeck, R. &amp; Keniston, D. Creative destruction: barriers to urban growth and the Great Boston Fire of 1872. </w:t>
      </w:r>
      <w:r>
        <w:rPr>
          <w:rFonts w:ascii="Times New Roman" w:hAnsi="Times New Roman"/>
          <w:b w:val="0"/>
          <w:i/>
          <w:color w:val="000000"/>
          <w:sz w:val="20"/>
        </w:rPr>
        <w:t>Am. Econ. Rev.</w:t>
      </w:r>
      <w:r>
        <w:rPr>
          <w:rFonts w:ascii="Times New Roman" w:hAnsi="Times New Roman"/>
          <w:b w:val="0"/>
          <w:i w:val="0"/>
          <w:color w:val="000000"/>
          <w:sz w:val="20"/>
        </w:rPr>
        <w:t xml:space="preserve"> 107, 1365–1398 (2017).</w:t>
      </w:r>
    </w:p>
    <w:p>
      <w:r>
        <w:rPr>
          <w:rFonts w:ascii="Times New Roman" w:hAnsi="Times New Roman"/>
          <w:b w:val="0"/>
          <w:i w:val="0"/>
          <w:color w:val="000000"/>
          <w:sz w:val="20"/>
        </w:rPr>
        <w:t xml:space="preserve">26. Vigdor, J. The economic aftermath of Hurricane Katrina. </w:t>
      </w:r>
      <w:r>
        <w:rPr>
          <w:rFonts w:ascii="Times New Roman" w:hAnsi="Times New Roman"/>
          <w:b w:val="0"/>
          <w:i/>
          <w:color w:val="000000"/>
          <w:sz w:val="20"/>
        </w:rPr>
        <w:t>J. Econ. Perspect.</w:t>
      </w:r>
      <w:r>
        <w:rPr>
          <w:rFonts w:ascii="Times New Roman" w:hAnsi="Times New Roman"/>
          <w:b w:val="0"/>
          <w:i w:val="0"/>
          <w:color w:val="000000"/>
          <w:sz w:val="20"/>
        </w:rPr>
        <w:t xml:space="preserve"> 22, 135–154 (2008).</w:t>
      </w:r>
    </w:p>
    <w:p>
      <w:r>
        <w:rPr>
          <w:rFonts w:ascii="Times New Roman" w:hAnsi="Times New Roman"/>
          <w:b w:val="0"/>
          <w:i w:val="0"/>
          <w:color w:val="000000"/>
          <w:sz w:val="20"/>
        </w:rPr>
        <w:t xml:space="preserve">27. Hino, M., Field, C. B. &amp; Mach, K. J. Managed retreat as a response to natural hazard risk. </w:t>
      </w:r>
      <w:r>
        <w:rPr>
          <w:rFonts w:ascii="Times New Roman" w:hAnsi="Times New Roman"/>
          <w:b w:val="0"/>
          <w:i/>
          <w:color w:val="000000"/>
          <w:sz w:val="20"/>
        </w:rPr>
        <w:t>Nat. Clim. Change</w:t>
      </w:r>
      <w:r>
        <w:rPr>
          <w:rFonts w:ascii="Times New Roman" w:hAnsi="Times New Roman"/>
          <w:b w:val="0"/>
          <w:i w:val="0"/>
          <w:color w:val="000000"/>
          <w:sz w:val="20"/>
        </w:rPr>
        <w:t xml:space="preserve"> 7, 364–370 (2017).</w:t>
      </w:r>
    </w:p>
    <w:p>
      <w:r>
        <w:rPr>
          <w:rFonts w:ascii="Times New Roman" w:hAnsi="Times New Roman"/>
          <w:b w:val="0"/>
          <w:i w:val="0"/>
          <w:color w:val="000000"/>
          <w:sz w:val="20"/>
        </w:rPr>
        <w:t xml:space="preserve">28. Boustan, L. P., Kahn, M. E. &amp; Rhode, P. W. Moving to higher ground: migration response to natural disasters in the early twentieth century. </w:t>
      </w:r>
      <w:r>
        <w:rPr>
          <w:rFonts w:ascii="Times New Roman" w:hAnsi="Times New Roman"/>
          <w:b w:val="0"/>
          <w:i/>
          <w:color w:val="000000"/>
          <w:sz w:val="20"/>
        </w:rPr>
        <w:t>Am. Econ. Rev.</w:t>
      </w:r>
      <w:r>
        <w:rPr>
          <w:rFonts w:ascii="Times New Roman" w:hAnsi="Times New Roman"/>
          <w:b w:val="0"/>
          <w:i w:val="0"/>
          <w:color w:val="000000"/>
          <w:sz w:val="20"/>
        </w:rPr>
        <w:t xml:space="preserve"> 102, 238–242 (2012).</w:t>
      </w:r>
    </w:p>
    <w:p>
      <w:r>
        <w:rPr>
          <w:rFonts w:ascii="Times New Roman" w:hAnsi="Times New Roman"/>
          <w:b w:val="0"/>
          <w:i w:val="0"/>
          <w:color w:val="000000"/>
          <w:sz w:val="20"/>
        </w:rPr>
        <w:t xml:space="preserve">29. Marino, E. Adaptation privilege and voluntary buyouts: perspectives on ethnocentrism in sea level rise relocation and retreat policies in the US. </w:t>
      </w:r>
      <w:r>
        <w:rPr>
          <w:rFonts w:ascii="Times New Roman" w:hAnsi="Times New Roman"/>
          <w:b w:val="0"/>
          <w:i/>
          <w:color w:val="000000"/>
          <w:sz w:val="20"/>
        </w:rPr>
        <w:t>Glob. Environ. Change</w:t>
      </w:r>
      <w:r>
        <w:rPr>
          <w:rFonts w:ascii="Times New Roman" w:hAnsi="Times New Roman"/>
          <w:b w:val="0"/>
          <w:i w:val="0"/>
          <w:color w:val="000000"/>
          <w:sz w:val="20"/>
        </w:rPr>
        <w:t xml:space="preserve"> 49, 10–13 (2018).</w:t>
      </w:r>
    </w:p>
    <w:p>
      <w:r>
        <w:rPr>
          <w:rFonts w:ascii="Times New Roman" w:hAnsi="Times New Roman"/>
          <w:b w:val="0"/>
          <w:i w:val="0"/>
          <w:color w:val="000000"/>
          <w:sz w:val="20"/>
        </w:rPr>
        <w:t xml:space="preserve">30. Franco, A., Malhotra, N. &amp; Simonovits, G. Publication bias in the social sciences: unlocking the file drawer. </w:t>
      </w:r>
      <w:r>
        <w:rPr>
          <w:rFonts w:ascii="Times New Roman" w:hAnsi="Times New Roman"/>
          <w:b w:val="0"/>
          <w:i/>
          <w:color w:val="000000"/>
          <w:sz w:val="20"/>
        </w:rPr>
        <w:t>Science</w:t>
      </w:r>
      <w:r>
        <w:rPr>
          <w:rFonts w:ascii="Times New Roman" w:hAnsi="Times New Roman"/>
          <w:b w:val="0"/>
          <w:i w:val="0"/>
          <w:color w:val="000000"/>
          <w:sz w:val="20"/>
        </w:rPr>
        <w:t xml:space="preserve"> 345, 1502–1505 (2014).</w:t>
      </w:r>
    </w:p>
    <w:p>
      <w:r>
        <w:rPr>
          <w:rFonts w:ascii="Times New Roman" w:hAnsi="Times New Roman"/>
          <w:b w:val="0"/>
          <w:i w:val="0"/>
          <w:color w:val="000000"/>
          <w:sz w:val="20"/>
        </w:rPr>
        <w:t xml:space="preserve">31. Fanelli, D. Do pressures to publish increase scientists' bias? An empirical support from US states data. </w:t>
      </w:r>
      <w:r>
        <w:rPr>
          <w:rFonts w:ascii="Times New Roman" w:hAnsi="Times New Roman"/>
          <w:b w:val="0"/>
          <w:i/>
          <w:color w:val="000000"/>
          <w:sz w:val="20"/>
        </w:rPr>
        <w:t>PLoS ONE</w:t>
      </w:r>
      <w:r>
        <w:rPr>
          <w:rFonts w:ascii="Times New Roman" w:hAnsi="Times New Roman"/>
          <w:b w:val="0"/>
          <w:i w:val="0"/>
          <w:color w:val="000000"/>
          <w:sz w:val="20"/>
        </w:rPr>
        <w:t xml:space="preserve"> 5, e10271 (2010).</w:t>
      </w:r>
    </w:p>
    <w:p>
      <w:r>
        <w:rPr>
          <w:rFonts w:ascii="Times New Roman" w:hAnsi="Times New Roman"/>
          <w:b w:val="0"/>
          <w:i w:val="0"/>
          <w:color w:val="000000"/>
          <w:sz w:val="20"/>
        </w:rPr>
        <w:t xml:space="preserve">32. Schlenker, W. &amp; Roberts, M. J. Nonlinear temperature effects indicate severe damages to U.S. crop yields under climate change. </w:t>
      </w:r>
      <w:r>
        <w:rPr>
          <w:rFonts w:ascii="Times New Roman" w:hAnsi="Times New Roman"/>
          <w:b w:val="0"/>
          <w:i/>
          <w:color w:val="000000"/>
          <w:sz w:val="20"/>
        </w:rPr>
        <w:t>Proc. Natl Acad. Sci. USA</w:t>
      </w:r>
      <w:r>
        <w:rPr>
          <w:rFonts w:ascii="Times New Roman" w:hAnsi="Times New Roman"/>
          <w:b w:val="0"/>
          <w:i w:val="0"/>
          <w:color w:val="000000"/>
          <w:sz w:val="20"/>
        </w:rPr>
        <w:t xml:space="preserve"> 106, 15594–15598 (2009).</w:t>
      </w:r>
    </w:p>
    <w:p>
      <w:r>
        <w:rPr>
          <w:rFonts w:ascii="Times New Roman" w:hAnsi="Times New Roman"/>
          <w:b w:val="0"/>
          <w:i w:val="0"/>
          <w:color w:val="000000"/>
          <w:sz w:val="20"/>
        </w:rPr>
        <w:t xml:space="preserve">33. Lobell, D. B., Schlenker, W. &amp; Costa-Roberts, J. Climate trends and global crop production since 1980. </w:t>
      </w:r>
      <w:r>
        <w:rPr>
          <w:rFonts w:ascii="Times New Roman" w:hAnsi="Times New Roman"/>
          <w:b w:val="0"/>
          <w:i/>
          <w:color w:val="000000"/>
          <w:sz w:val="20"/>
        </w:rPr>
        <w:t>Science</w:t>
      </w:r>
      <w:r>
        <w:rPr>
          <w:rFonts w:ascii="Times New Roman" w:hAnsi="Times New Roman"/>
          <w:b w:val="0"/>
          <w:i w:val="0"/>
          <w:color w:val="000000"/>
          <w:sz w:val="20"/>
        </w:rPr>
        <w:t xml:space="preserve"> 333, 616–620 (2011).</w:t>
      </w:r>
    </w:p>
    <w:p>
      <w:r>
        <w:rPr>
          <w:rFonts w:ascii="Times New Roman" w:hAnsi="Times New Roman"/>
          <w:b w:val="0"/>
          <w:i w:val="0"/>
          <w:color w:val="000000"/>
          <w:sz w:val="20"/>
        </w:rPr>
        <w:t xml:space="preserve">34. Burke, M. &amp; Emerick, K. Adaptation to climate change: evidence from US agriculture. </w:t>
      </w:r>
      <w:r>
        <w:rPr>
          <w:rFonts w:ascii="Times New Roman" w:hAnsi="Times New Roman"/>
          <w:b w:val="0"/>
          <w:i/>
          <w:color w:val="000000"/>
          <w:sz w:val="20"/>
        </w:rPr>
        <w:t>Am. Econ. J. Econ. Policy</w:t>
      </w:r>
      <w:r>
        <w:rPr>
          <w:rFonts w:ascii="Times New Roman" w:hAnsi="Times New Roman"/>
          <w:b w:val="0"/>
          <w:i w:val="0"/>
          <w:color w:val="000000"/>
          <w:sz w:val="20"/>
        </w:rPr>
        <w:t xml:space="preserve"> 8, 106–140 (2016).</w:t>
      </w:r>
    </w:p>
    <w:p>
      <w:r>
        <w:rPr>
          <w:rFonts w:ascii="Times New Roman" w:hAnsi="Times New Roman"/>
          <w:b w:val="0"/>
          <w:i w:val="0"/>
          <w:color w:val="000000"/>
          <w:sz w:val="20"/>
        </w:rPr>
        <w:t xml:space="preserve">35. Costinot, A., Donaldson, D. &amp; Smith, C. Evolving comparative advantage and the impact of climate change in agricultural markets: evidence from 1.7 million fields around the world. </w:t>
      </w:r>
      <w:r>
        <w:rPr>
          <w:rFonts w:ascii="Times New Roman" w:hAnsi="Times New Roman"/>
          <w:b w:val="0"/>
          <w:i/>
          <w:color w:val="000000"/>
          <w:sz w:val="20"/>
        </w:rPr>
        <w:t>J. Polit. Econ.</w:t>
      </w:r>
      <w:r>
        <w:rPr>
          <w:rFonts w:ascii="Times New Roman" w:hAnsi="Times New Roman"/>
          <w:b w:val="0"/>
          <w:i w:val="0"/>
          <w:color w:val="000000"/>
          <w:sz w:val="20"/>
        </w:rPr>
        <w:t xml:space="preserve"> 124, 205–248 (2016).</w:t>
      </w:r>
    </w:p>
    <w:p>
      <w:r>
        <w:rPr>
          <w:rFonts w:ascii="Times New Roman" w:hAnsi="Times New Roman"/>
          <w:b w:val="0"/>
          <w:i w:val="0"/>
          <w:color w:val="000000"/>
          <w:sz w:val="20"/>
        </w:rPr>
        <w:t xml:space="preserve">36. Rising, J. &amp; Devineni, N. Crop switching reduces agricultural losses from climate change in the United States by half under RCP 8.5. </w:t>
      </w:r>
      <w:r>
        <w:rPr>
          <w:rFonts w:ascii="Times New Roman" w:hAnsi="Times New Roman"/>
          <w:b w:val="0"/>
          <w:i/>
          <w:color w:val="000000"/>
          <w:sz w:val="20"/>
        </w:rPr>
        <w:t>Nat. Commun.</w:t>
      </w:r>
      <w:r>
        <w:rPr>
          <w:rFonts w:ascii="Times New Roman" w:hAnsi="Times New Roman"/>
          <w:b w:val="0"/>
          <w:i w:val="0"/>
          <w:color w:val="000000"/>
          <w:sz w:val="20"/>
        </w:rPr>
        <w:t xml:space="preserve"> 11, 4991 (2020).</w:t>
      </w:r>
    </w:p>
    <w:p>
      <w:r>
        <w:rPr>
          <w:rFonts w:ascii="Times New Roman" w:hAnsi="Times New Roman"/>
          <w:b w:val="0"/>
          <w:i w:val="0"/>
          <w:color w:val="000000"/>
          <w:sz w:val="20"/>
        </w:rPr>
        <w:t xml:space="preserve">37. Melchiorri, M. et al. Unveiling 25 years of planetary urbanization with remote sensing: perspectives from the global human settlement layer. </w:t>
      </w:r>
      <w:r>
        <w:rPr>
          <w:rFonts w:ascii="Times New Roman" w:hAnsi="Times New Roman"/>
          <w:b w:val="0"/>
          <w:i/>
          <w:color w:val="000000"/>
          <w:sz w:val="20"/>
        </w:rPr>
        <w:t>Remote Sens.</w:t>
      </w:r>
      <w:r>
        <w:rPr>
          <w:rFonts w:ascii="Times New Roman" w:hAnsi="Times New Roman"/>
          <w:b w:val="0"/>
          <w:i w:val="0"/>
          <w:color w:val="000000"/>
          <w:sz w:val="20"/>
        </w:rPr>
        <w:t xml:space="preserve"> 10, 768 (2018).</w:t>
      </w:r>
    </w:p>
    <w:p>
      <w:r>
        <w:rPr>
          <w:rFonts w:ascii="Times New Roman" w:hAnsi="Times New Roman"/>
          <w:b w:val="0"/>
          <w:i w:val="0"/>
          <w:color w:val="000000"/>
          <w:sz w:val="20"/>
        </w:rPr>
        <w:t xml:space="preserve">38. Melchiorri, M. et al. </w:t>
      </w:r>
      <w:r>
        <w:rPr>
          <w:rFonts w:ascii="Times New Roman" w:hAnsi="Times New Roman"/>
          <w:b w:val="0"/>
          <w:i/>
          <w:color w:val="000000"/>
          <w:sz w:val="20"/>
        </w:rPr>
        <w:t>Stats in the City — the GHSL Urban Centre Database 2025 (GHS-UCDB R2024A)</w:t>
      </w:r>
      <w:r>
        <w:rPr>
          <w:rFonts w:ascii="Times New Roman" w:hAnsi="Times New Roman"/>
          <w:b w:val="0"/>
          <w:i w:val="0"/>
          <w:color w:val="000000"/>
          <w:sz w:val="20"/>
        </w:rPr>
        <w:t xml:space="preserve"> JRC139768 (Publications Office of the European Union, 2024), doi:10.2760/3046391.</w:t>
      </w:r>
    </w:p>
    <w:p>
      <w:r>
        <w:rPr>
          <w:rFonts w:ascii="Times New Roman" w:hAnsi="Times New Roman"/>
          <w:b w:val="0"/>
          <w:i w:val="0"/>
          <w:color w:val="000000"/>
          <w:sz w:val="20"/>
        </w:rPr>
        <w:t xml:space="preserve">39. Siders, A. R. Social justice implications of U.S. managed retreat buyout programs. </w:t>
      </w:r>
      <w:r>
        <w:rPr>
          <w:rFonts w:ascii="Times New Roman" w:hAnsi="Times New Roman"/>
          <w:b w:val="0"/>
          <w:i/>
          <w:color w:val="000000"/>
          <w:sz w:val="20"/>
        </w:rPr>
        <w:t>Clim. Change</w:t>
      </w:r>
      <w:r>
        <w:rPr>
          <w:rFonts w:ascii="Times New Roman" w:hAnsi="Times New Roman"/>
          <w:b w:val="0"/>
          <w:i w:val="0"/>
          <w:color w:val="000000"/>
          <w:sz w:val="20"/>
        </w:rPr>
        <w:t xml:space="preserve"> 152, 239–257 (2019).</w:t>
      </w:r>
    </w:p>
    <w:p>
      <w:r>
        <w:rPr>
          <w:rFonts w:ascii="Times New Roman" w:hAnsi="Times New Roman"/>
          <w:b w:val="0"/>
          <w:i w:val="0"/>
          <w:color w:val="000000"/>
          <w:sz w:val="20"/>
        </w:rPr>
        <w:t xml:space="preserve">40. Mach, K. J. et al. Managed retreat through voluntary buyouts of flood-prone properties. </w:t>
      </w:r>
      <w:r>
        <w:rPr>
          <w:rFonts w:ascii="Times New Roman" w:hAnsi="Times New Roman"/>
          <w:b w:val="0"/>
          <w:i/>
          <w:color w:val="000000"/>
          <w:sz w:val="20"/>
        </w:rPr>
        <w:t>Sci. Adv.</w:t>
      </w:r>
      <w:r>
        <w:rPr>
          <w:rFonts w:ascii="Times New Roman" w:hAnsi="Times New Roman"/>
          <w:b w:val="0"/>
          <w:i w:val="0"/>
          <w:color w:val="000000"/>
          <w:sz w:val="20"/>
        </w:rPr>
        <w:t xml:space="preserve"> 5, eaax8995 (2019).</w:t>
      </w:r>
    </w:p>
    <w:p>
      <w:r>
        <w:rPr>
          <w:rFonts w:ascii="Times New Roman" w:hAnsi="Times New Roman"/>
          <w:b w:val="0"/>
          <w:i w:val="0"/>
          <w:color w:val="000000"/>
          <w:sz w:val="20"/>
        </w:rPr>
        <w:t xml:space="preserve">41. Davis, D. R. &amp; Weinstein, D. E. Bones, bombs, and break points: the geography of economic activity. </w:t>
      </w:r>
      <w:r>
        <w:rPr>
          <w:rFonts w:ascii="Times New Roman" w:hAnsi="Times New Roman"/>
          <w:b w:val="0"/>
          <w:i/>
          <w:color w:val="000000"/>
          <w:sz w:val="20"/>
        </w:rPr>
        <w:t>Am. Econ. Rev.</w:t>
      </w:r>
      <w:r>
        <w:rPr>
          <w:rFonts w:ascii="Times New Roman" w:hAnsi="Times New Roman"/>
          <w:b w:val="0"/>
          <w:i w:val="0"/>
          <w:color w:val="000000"/>
          <w:sz w:val="20"/>
        </w:rPr>
        <w:t xml:space="preserve"> 92, 1269–1289 (2002).</w:t>
      </w:r>
    </w:p>
    <w:p>
      <w:r>
        <w:rPr>
          <w:rFonts w:ascii="Times New Roman" w:hAnsi="Times New Roman"/>
          <w:b w:val="0"/>
          <w:i w:val="0"/>
          <w:color w:val="000000"/>
          <w:sz w:val="20"/>
        </w:rPr>
        <w:t xml:space="preserve">42. Miguel, E. &amp; Roland, G. The long-run impact of bombing Vietnam. </w:t>
      </w:r>
      <w:r>
        <w:rPr>
          <w:rFonts w:ascii="Times New Roman" w:hAnsi="Times New Roman"/>
          <w:b w:val="0"/>
          <w:i/>
          <w:color w:val="000000"/>
          <w:sz w:val="20"/>
        </w:rPr>
        <w:t>J. Dev. Econ.</w:t>
      </w:r>
      <w:r>
        <w:rPr>
          <w:rFonts w:ascii="Times New Roman" w:hAnsi="Times New Roman"/>
          <w:b w:val="0"/>
          <w:i w:val="0"/>
          <w:color w:val="000000"/>
          <w:sz w:val="20"/>
        </w:rPr>
        <w:t xml:space="preserve"> 96, 1–15 (2011).</w:t>
      </w:r>
    </w:p>
    <w:p>
      <w:r>
        <w:rPr>
          <w:rFonts w:ascii="Times New Roman" w:hAnsi="Times New Roman"/>
          <w:b w:val="0"/>
          <w:i w:val="0"/>
          <w:color w:val="000000"/>
          <w:sz w:val="20"/>
        </w:rPr>
        <w:t xml:space="preserve">43. Caldecott, B., Howarth, N. &amp; McSharry, P. </w:t>
      </w:r>
      <w:r>
        <w:rPr>
          <w:rFonts w:ascii="Times New Roman" w:hAnsi="Times New Roman"/>
          <w:b w:val="0"/>
          <w:i/>
          <w:color w:val="000000"/>
          <w:sz w:val="20"/>
        </w:rPr>
        <w:t>Stranded Assets in Agriculture: Protecting Value from Environment-Related Risks</w:t>
      </w:r>
      <w:r>
        <w:rPr>
          <w:rFonts w:ascii="Times New Roman" w:hAnsi="Times New Roman"/>
          <w:b w:val="0"/>
          <w:i w:val="0"/>
          <w:color w:val="000000"/>
          <w:sz w:val="20"/>
        </w:rPr>
        <w:t xml:space="preserve"> (Smith School of Enterprise and the Environment, Univ. of Oxford, 2013).</w:t>
      </w:r>
    </w:p>
    <w:p>
      <w:r>
        <w:rPr>
          <w:rFonts w:ascii="Times New Roman" w:hAnsi="Times New Roman"/>
          <w:b w:val="0"/>
          <w:i w:val="0"/>
          <w:color w:val="000000"/>
          <w:sz w:val="20"/>
        </w:rPr>
        <w:t xml:space="preserve">44. FAO. </w:t>
      </w:r>
      <w:r>
        <w:rPr>
          <w:rFonts w:ascii="Times New Roman" w:hAnsi="Times New Roman"/>
          <w:b w:val="0"/>
          <w:i/>
          <w:color w:val="000000"/>
          <w:sz w:val="20"/>
        </w:rPr>
        <w:t>FAOSTAT Statistical Database</w:t>
      </w:r>
      <w:r>
        <w:rPr>
          <w:rFonts w:ascii="Times New Roman" w:hAnsi="Times New Roman"/>
          <w:b w:val="0"/>
          <w:i w:val="0"/>
          <w:color w:val="000000"/>
          <w:sz w:val="20"/>
        </w:rPr>
        <w:t xml:space="preserve"> (Food and Agriculture Organization of the United Nations, Rome; accessed 2025).</w:t>
      </w:r>
    </w:p>
    <w:p>
      <w:r>
        <w:rPr>
          <w:rFonts w:ascii="Times New Roman" w:hAnsi="Times New Roman"/>
          <w:b w:val="0"/>
          <w:i w:val="0"/>
          <w:color w:val="000000"/>
          <w:sz w:val="20"/>
        </w:rPr>
        <w:t xml:space="preserve">45. You, L. et al. </w:t>
      </w:r>
      <w:r>
        <w:rPr>
          <w:rFonts w:ascii="Times New Roman" w:hAnsi="Times New Roman"/>
          <w:b w:val="0"/>
          <w:i/>
          <w:color w:val="000000"/>
          <w:sz w:val="20"/>
        </w:rPr>
        <w:t>Spatial Production Allocation Model (SPAM) 2000</w:t>
      </w:r>
      <w:r>
        <w:rPr>
          <w:rFonts w:ascii="Times New Roman" w:hAnsi="Times New Roman"/>
          <w:b w:val="0"/>
          <w:i w:val="0"/>
          <w:color w:val="000000"/>
          <w:sz w:val="20"/>
        </w:rPr>
        <w:t xml:space="preserve"> (International Food Policy Research Institute; https://mapspam.info).</w:t>
      </w:r>
    </w:p>
    <w:p>
      <w:r>
        <w:rPr>
          <w:rFonts w:ascii="Times New Roman" w:hAnsi="Times New Roman"/>
          <w:b w:val="0"/>
          <w:i w:val="0"/>
          <w:color w:val="000000"/>
          <w:sz w:val="20"/>
        </w:rPr>
        <w:t xml:space="preserve">46. Portmann, F. T., Siebert, S. &amp; Döll, P. MIRCA2000 — Global monthly irrigated and rainfed crop areas around the year 2000: a new high-resolution data set for agricultural and hydrological modeling. </w:t>
      </w:r>
      <w:r>
        <w:rPr>
          <w:rFonts w:ascii="Times New Roman" w:hAnsi="Times New Roman"/>
          <w:b w:val="0"/>
          <w:i/>
          <w:color w:val="000000"/>
          <w:sz w:val="20"/>
        </w:rPr>
        <w:t>Global Biogeochem. Cycles</w:t>
      </w:r>
      <w:r>
        <w:rPr>
          <w:rFonts w:ascii="Times New Roman" w:hAnsi="Times New Roman"/>
          <w:b w:val="0"/>
          <w:i w:val="0"/>
          <w:color w:val="000000"/>
          <w:sz w:val="20"/>
        </w:rPr>
        <w:t xml:space="preserve"> 24, GB1011 (2010).</w:t>
      </w:r>
    </w:p>
    <w:p>
      <w:r>
        <w:rPr>
          <w:rFonts w:ascii="Times New Roman" w:hAnsi="Times New Roman"/>
          <w:b w:val="0"/>
          <w:i w:val="0"/>
          <w:color w:val="000000"/>
          <w:sz w:val="20"/>
        </w:rPr>
        <w:t xml:space="preserve">47. Hersbach, H. et al. The ERA5 global reanalysis. </w:t>
      </w:r>
      <w:r>
        <w:rPr>
          <w:rFonts w:ascii="Times New Roman" w:hAnsi="Times New Roman"/>
          <w:b w:val="0"/>
          <w:i/>
          <w:color w:val="000000"/>
          <w:sz w:val="20"/>
        </w:rPr>
        <w:t>Q. J. R. Meteorol. Soc.</w:t>
      </w:r>
      <w:r>
        <w:rPr>
          <w:rFonts w:ascii="Times New Roman" w:hAnsi="Times New Roman"/>
          <w:b w:val="0"/>
          <w:i w:val="0"/>
          <w:color w:val="000000"/>
          <w:sz w:val="20"/>
        </w:rPr>
        <w:t xml:space="preserve"> 146, 1999–2049 (2020).</w:t>
      </w:r>
    </w:p>
    <w:p>
      <w:r>
        <w:rPr>
          <w:rFonts w:ascii="Times New Roman" w:hAnsi="Times New Roman"/>
          <w:b w:val="0"/>
          <w:i w:val="0"/>
          <w:color w:val="000000"/>
          <w:sz w:val="20"/>
        </w:rPr>
        <w:t xml:space="preserve">48. Baugh, C. et al. </w:t>
      </w:r>
      <w:r>
        <w:rPr>
          <w:rFonts w:ascii="Times New Roman" w:hAnsi="Times New Roman"/>
          <w:b w:val="0"/>
          <w:i/>
          <w:color w:val="000000"/>
          <w:sz w:val="20"/>
        </w:rPr>
        <w:t>Global River Flood Hazard Maps</w:t>
      </w:r>
      <w:r>
        <w:rPr>
          <w:rFonts w:ascii="Times New Roman" w:hAnsi="Times New Roman"/>
          <w:b w:val="0"/>
          <w:i w:val="0"/>
          <w:color w:val="000000"/>
          <w:sz w:val="20"/>
        </w:rPr>
        <w:t xml:space="preserve"> (European Commission, Joint Research Centre, 2024), doi:10.2905/JRC.VD32YWG.</w:t>
      </w:r>
    </w:p>
    <w:p>
      <w:pPr>
        <w:pStyle w:val="Heading1"/>
      </w:pPr>
      <w:r>
        <w:t>Figure legends</w:t>
      </w:r>
    </w:p>
    <w:p>
      <w:r>
        <w:rPr>
          <w:rFonts w:ascii="Times New Roman" w:hAnsi="Times New Roman"/>
          <w:b/>
          <w:i w:val="0"/>
          <w:color w:val="000000"/>
          <w:sz w:val="20"/>
        </w:rPr>
        <w:t>Figure 1 | Theory and empirical architecture.</w:t>
      </w:r>
      <w:r>
        <w:rPr>
          <w:rFonts w:ascii="Times New Roman" w:hAnsi="Times New Roman"/>
          <w:b w:val="0"/>
          <w:i w:val="0"/>
          <w:color w:val="000000"/>
          <w:sz w:val="20"/>
        </w:rPr>
        <w:t xml:space="preserv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i w:val="0"/>
          <w:color w:val="000000"/>
          <w:sz w:val="20"/>
        </w:rPr>
        <w:t>Figure 2 | Agricultural tests.</w:t>
      </w:r>
      <w:r>
        <w:rPr>
          <w:rFonts w:ascii="Times New Roman" w:hAnsi="Times New Roman"/>
          <w:b w:val="0"/>
          <w:i w:val="0"/>
          <w:color w:val="000000"/>
          <w:sz w:val="20"/>
        </w:rPr>
        <w:t xml:space="preserve">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i w:val="0"/>
          <w:color w:val="000000"/>
          <w:sz w:val="20"/>
        </w:rPr>
        <w:t>Figure 3 | Urban built-capital test.</w:t>
      </w:r>
      <w:r>
        <w:rPr>
          <w:rFonts w:ascii="Times New Roman" w:hAnsi="Times New Roman"/>
          <w:b w:val="0"/>
          <w:i w:val="0"/>
          <w:color w:val="000000"/>
          <w:sz w:val="20"/>
        </w:rPr>
        <w:t xml:space="preserve"> Primary interaction estimate and prespecified coastal-proximity subgroups; a detectable but small and context-dependent association concentrated inland.</w:t>
      </w:r>
    </w:p>
    <w:p>
      <w:r>
        <w:rPr>
          <w:rFonts w:ascii="Times New Roman" w:hAnsi="Times New Roman"/>
          <w:b/>
          <w:i w:val="0"/>
          <w:color w:val="000000"/>
          <w:sz w:val="20"/>
        </w:rPr>
        <w:t>Figure 4 | Settlement-transition test.</w:t>
      </w:r>
      <w:r>
        <w:rPr>
          <w:rFonts w:ascii="Times New Roman" w:hAnsi="Times New Roman"/>
          <w:b w:val="0"/>
          <w:i w:val="0"/>
          <w:color w:val="000000"/>
          <w:sz w:val="20"/>
        </w:rPr>
        <w:t xml:space="preserve">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i w:val="0"/>
          <w:color w:val="000000"/>
          <w:sz w:val="20"/>
        </w:rPr>
        <w:t>Figure 5 | Cross-study synthesis.</w:t>
      </w:r>
      <w:r>
        <w:rPr>
          <w:rFonts w:ascii="Times New Roman" w:hAnsi="Times New Roman"/>
          <w:b w:val="0"/>
          <w:i w:val="0"/>
          <w:color w:val="000000"/>
          <w:sz w:val="20"/>
        </w:rPr>
        <w:t xml:space="preserve">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Extended Data</w:t>
      </w:r>
    </w:p>
    <w:p>
      <w:r>
        <w:rPr>
          <w:rFonts w:ascii="Times New Roman" w:hAnsi="Times New Roman"/>
          <w:b/>
          <w:i w:val="0"/>
          <w:color w:val="000000"/>
          <w:sz w:val="20"/>
        </w:rPr>
        <w:t>Extended Data Fig. 1 | Lock chronology and study architecture.</w:t>
      </w:r>
    </w:p>
    <w:p>
      <w:r>
        <w:rPr>
          <w:rFonts w:ascii="Times New Roman" w:hAnsi="Times New Roman"/>
          <w:b/>
          <w:i w:val="0"/>
          <w:color w:val="000000"/>
          <w:sz w:val="20"/>
        </w:rPr>
        <w:t>Extended Data Fig. 2 | National agricultural robustness.</w:t>
      </w:r>
    </w:p>
    <w:p>
      <w:r>
        <w:rPr>
          <w:rFonts w:ascii="Times New Roman" w:hAnsi="Times New Roman"/>
          <w:b/>
          <w:i w:val="0"/>
          <w:color w:val="000000"/>
          <w:sz w:val="20"/>
        </w:rPr>
        <w:t>Extended Data Fig. 3 | Subnational agricultural robustness.</w:t>
      </w:r>
    </w:p>
    <w:p>
      <w:r>
        <w:rPr>
          <w:rFonts w:ascii="Times New Roman" w:hAnsi="Times New Roman"/>
          <w:b/>
          <w:i w:val="0"/>
          <w:color w:val="000000"/>
          <w:sz w:val="20"/>
        </w:rPr>
        <w:t>Extended Data Fig. 4 | Urban robustness and heterogeneity.</w:t>
      </w:r>
    </w:p>
    <w:p>
      <w:r>
        <w:rPr>
          <w:rFonts w:ascii="Times New Roman" w:hAnsi="Times New Roman"/>
          <w:b/>
          <w:i w:val="0"/>
          <w:color w:val="000000"/>
          <w:sz w:val="20"/>
        </w:rPr>
        <w:t>Extended Data Fig. 5 | Urban negative controls.</w:t>
      </w:r>
    </w:p>
    <w:p>
      <w:r>
        <w:rPr>
          <w:rFonts w:ascii="Times New Roman" w:hAnsi="Times New Roman"/>
          <w:b/>
          <w:i w:val="0"/>
          <w:color w:val="000000"/>
          <w:sz w:val="20"/>
        </w:rPr>
        <w:t>Extended Data Fig. 6 | Transition risk-set construction.</w:t>
      </w:r>
    </w:p>
    <w:p>
      <w:r>
        <w:rPr>
          <w:rFonts w:ascii="Times New Roman" w:hAnsi="Times New Roman"/>
          <w:b/>
          <w:i w:val="0"/>
          <w:color w:val="000000"/>
          <w:sz w:val="20"/>
        </w:rPr>
        <w:t>Extended Data Fig. 7 | Transition robustness.</w:t>
      </w:r>
    </w:p>
    <w:p>
      <w:r>
        <w:rPr>
          <w:rFonts w:ascii="Times New Roman" w:hAnsi="Times New Roman"/>
          <w:b/>
          <w:i w:val="0"/>
          <w:color w:val="000000"/>
          <w:sz w:val="20"/>
        </w:rPr>
        <w:t>Extended Data Fig. 8 | Simulation and inference calibration.</w:t>
      </w:r>
    </w:p>
    <w:p>
      <w:r>
        <w:rPr>
          <w:rFonts w:ascii="Times New Roman" w:hAnsi="Times New Roman"/>
          <w:b/>
          <w:i w:val="0"/>
          <w:color w:val="000000"/>
          <w:sz w:val="20"/>
        </w:rPr>
        <w:t>Extended Data Table 1 | Complete design matrix.</w:t>
      </w:r>
    </w:p>
    <w:p>
      <w:r>
        <w:rPr>
          <w:rFonts w:ascii="Times New Roman" w:hAnsi="Times New Roman"/>
          <w:b/>
          <w:i w:val="0"/>
          <w:color w:val="000000"/>
          <w:sz w:val="20"/>
        </w:rPr>
        <w:t>Extended Data Table 2 | All primary estimands.</w:t>
      </w:r>
    </w:p>
    <w:p>
      <w:pPr>
        <w:pStyle w:val="Heading1"/>
      </w:pPr>
      <w:r>
        <w:t>Supplementary Information</w:t>
      </w:r>
    </w:p>
    <w:p>
      <w:r>
        <w:rPr>
          <w:rFonts w:ascii="Times New Roman" w:hAnsi="Times New Roman"/>
          <w:b/>
          <w:i w:val="0"/>
          <w:color w:val="000000"/>
          <w:sz w:val="20"/>
        </w:rPr>
        <w:t>Supplementary Table 1 | Integrated evidence table.</w:t>
      </w:r>
      <w:r>
        <w:rPr>
          <w:rFonts w:ascii="Times New Roman" w:hAnsi="Times New Roman"/>
          <w:b w:val="0"/>
          <w:i w:val="0"/>
          <w:color w:val="000000"/>
          <w:sz w:val="20"/>
        </w:rPr>
        <w:t xml:space="preserve"> Unit, sample, legacy construct, environmental demand, transformation outcome, primary estimand, estimate, 95% CI, p-value and classification for each locked primary test. Provided as supplementary/SI_Table_1.csv in the submission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