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Legacy standards as frozen solutions to obsolete optimization problems: a framework for technological change and adaptive re-optimization</w:t>
      </w:r>
    </w:p>
    <w:p>
      <w:r>
        <w:rPr>
          <w:b/>
        </w:rPr>
        <w:t>Abstract</w:t>
      </w:r>
      <w:r/>
    </w:p>
    <w:p>
      <w:r>
        <w:t>Persistent standards are often treated either as efficient coordination devices or as path-dependent constraints. Both interpretations can be premature when technologies have changed the information, computation, communication, and control conditions under which an incumbent was formed. We develop a Legacy Standard Audit that separates a historical optimum, a current frictionless optimum, and a transition-adjusted optimum. The protocol was applied to a pre-specified universe of 122 candidates in 12 domains and a frozen set of 7 heterogeneous cases. Public inputs were snapshotted with provenance and checksums before confirmatory estimation. Oracle technical benchmarks identified material static mismatch in simulated condition-informed maintenance and reference-crop weather-adaptive irrigation; occupancy-responsive lighting and bounded price-aware load shifting remained small or uncertain after evidentiary and transition constraints were considered. A traffic-control sensitivity was insufficient for redesign, container compatibility could not be quantified, and the repeated-halving paper ratio returned the pre-specified analytic null. Because objectives and denominators differ, effects are not pooled and no population causal claim is made. The results show that technological change can justify re-audit without implying obsolescence: redesign requires case-specific transition-cost, safety, network, and regulatory evidence.</w:t>
      </w:r>
    </w:p>
    <w:p>
      <w:r>
        <w:t>Keywords: standards; path dependence; technological change; adaptive control; switching costs; reproducibility; technology governance</w:t>
      </w:r>
    </w:p>
    <w:p>
      <w:pPr>
        <w:pStyle w:val="Heading1"/>
      </w:pPr>
      <w:r>
        <w:t>1. Introduction</w:t>
      </w:r>
    </w:p>
    <w:p>
      <w:r>
        <w:t>Standards coordinate expectations, reduce interface uncertainty, and permit complementary investment. Those same benefits can make an incumbent persistent after the problem environment changes. Research on dominant designs and technological trajectories explains how technologies stabilize and later face discontinuities (Utterback and Abernathy, 1975; Dosi, 1982; Abernathy and Clark, 1985; Tushman and Anderson, 1986; Henderson and Clark, 1990). Research on increasing returns, compatibility, and infrastructure lock-in explains why persistence can remain privately or socially rational (Farrell and Saloner, 1985; Arthur, 1989; Liebowitz and Margolis, 1995; Pierson, 2000; Unruh, 2000). The analytical error is therefore not persistence itself, but inferring either efficiency or inefficiency from persistence without reconstructing the decision problem.</w:t>
      </w:r>
    </w:p>
    <w:p>
      <w:r>
        <w:t>Digital technologies sharpen this problem. Cheap sensing, computation, communication, and adaptive control can relax information constraints that once favored fixed schedules, fixed intervals, or static allocations. Digital innovation also changes architectures and organizing logics rather than merely improving a component (Yoo et al., 2010; Nambisan et al., 2017). Yet real-time information does not erase compatibility, investment, safety, regulation, or collective-action costs. Standards scholarship accordingly shows that dominance depends on installed bases, participation, governance, and the interaction between standardization and innovation (Allen and Sriram, 2000; Suarez, 2004; Wiegmann et al., 2017; van de Kaa et al., 2018; Blind et al., 2022, 2023).</w:t>
      </w:r>
    </w:p>
    <w:p>
      <w:r>
        <w:t>This article contributes a pre-specified measurement and governance protocol. It does not offer a new general theory of lock-in. Instead, it operationalizes a question that spans standards economics, technological transitions, and adaptive systems: when a technology changes the feasible information or control set, how should an incumbent standard be re-audited without selecting only striking examples or forcing a redesign conclusion? The protocol requires separate estimates of static and transition-adjusted regret, preserves null and insufficient-evidence cases, and forbids pooling outcomes with incomparable objectives.</w:t>
      </w:r>
    </w:p>
    <w:p>
      <w:r>
        <w:t>We screened 122 candidates across 12 domains, froze 7 cases before confirmatory estimation, and grounded the positioning in 32 exact-DOI-verified prior works. The empirical cases are demonstrations of a present-day audit, not complete reconstructions of every historical optimum. That distinction is central to the interpretation.</w:t>
      </w:r>
    </w:p>
    <w:p>
      <w:pPr>
        <w:pStyle w:val="Heading1"/>
      </w:pPr>
      <w:r>
        <w:t>2. Theory and hypotheses</w:t>
      </w:r>
    </w:p>
    <w:p>
      <w:r>
        <w:t>Path dependence can arise through increasing returns and coordination, but historical persistence alone does not establish market failure. Critical work on escape from lock-in and technological trajectories emphasizes that incumbent systems may be difficult to displace even when alternatives improve (Cowan and Hultén, 1996; Dolfsma and Leydesdorff, 2009; Heinrich, 2014). Sociological and organizational accounts add that standards are enacted through practices and institutions rather than imposed as purely technical rules (Orlikowski, 1992; Timmermans and Epstein, 2010). Exploration and exploitation create a related governance tension: reassessment has option value, but continual change can destroy coordination value (March, 1991).</w:t>
      </w:r>
    </w:p>
    <w:p>
      <w:r>
        <w:t>Transition research frames system change as a co-evolution of technology, institutions, infrastructure, and user practices (Geels, 2002, 2004, 2005). Governance experiments can reveal transition conditions, but their success is contextual (Bos and Brown, 2012). Standards participation and policy further shape whose objectives and constraints enter a redesign process (Choung et al., 2012; Blind and von Laer, 2022). Consumer switching research likewise shows that comparative technical value is only one component of adoption (Kamolsook et al., 2019).</w:t>
      </w:r>
    </w:p>
    <w:p>
      <w:r>
        <w:t>The framework yields five falsifiable expectations. First, fixed rules created under information scarcity should show larger static mismatch where reliable real-time control becomes feasible. Second, adaptive control should improve the specified objective only when information and control gains exceed error and implementation costs. Third, non-technological changes such as demand, prices, demography, and regulation may explain apparent mismatch and must be modeled or named. Fourth, network and switching costs can rationally preserve an incumbent despite positive frictionless regret. Fifth, some inherited standards should remain near-optimal for their specified objective and appear as null controls.</w:t>
      </w:r>
    </w:p>
    <w:p>
      <w:pPr>
        <w:pStyle w:val="Heading1"/>
      </w:pPr>
      <w:r>
        <w:t>3. The Legacy Standard Audit</w:t>
      </w:r>
    </w:p>
    <w:p>
      <w:r>
        <w:t>Let the incumbent be x_inc. The historical optimum x_h* minimizes loss under the historical feasible set and parameters; the current frictionless optimum x_c* minimizes current loss without switching costs; and the transition-adjusted optimum x_T* adds switching, compatibility, and coordination costs. Figure 1 shows the resulting decision sequence.</w:t>
      </w:r>
    </w:p>
    <w:p>
      <w:pPr>
        <w:jc w:val="center"/>
      </w:pPr>
      <w:r>
        <w:rPr>
          <w:i/>
        </w:rPr>
        <w:t>x_h* = arg min(x ∈ X_h) L_h(x; θ_h)</w:t>
      </w:r>
    </w:p>
    <w:p>
      <w:pPr>
        <w:jc w:val="center"/>
      </w:pPr>
      <w:r>
        <w:rPr>
          <w:i/>
        </w:rPr>
        <w:t>x_c* = arg min(x ∈ X_c) L_c(x; θ_c)</w:t>
      </w:r>
    </w:p>
    <w:p>
      <w:pPr>
        <w:jc w:val="center"/>
      </w:pPr>
      <w:r>
        <w:rPr>
          <w:i/>
        </w:rPr>
        <w:t>x_T* = arg min(x ∈ X_c) [L_c(x; θ_c) + C_switch(x_inc, x)]</w:t>
      </w:r>
    </w:p>
    <w:p>
      <w:pPr>
        <w:jc w:val="center"/>
      </w:pPr>
      <w:r>
        <w:rPr>
          <w:i/>
        </w:rPr>
        <w:t>R_static = L_c(x_inc; θ_c) − L_c(x_c*; θ_c)</w:t>
      </w:r>
    </w:p>
    <w:p>
      <w:pPr>
        <w:jc w:val="center"/>
      </w:pPr>
      <w:r>
        <w:drawing>
          <wp:inline xmlns:a="http://schemas.openxmlformats.org/drawingml/2006/main" xmlns:pic="http://schemas.openxmlformats.org/drawingml/2006/picture">
            <wp:extent cx="5852160" cy="3077025"/>
            <wp:docPr id="1" name="Picture 1"/>
            <wp:cNvGraphicFramePr>
              <a:graphicFrameLocks noChangeAspect="1"/>
            </wp:cNvGraphicFramePr>
            <a:graphic>
              <a:graphicData uri="http://schemas.openxmlformats.org/drawingml/2006/picture">
                <pic:pic>
                  <pic:nvPicPr>
                    <pic:cNvPr id="0" name="Figure_1_audit_framework.png"/>
                    <pic:cNvPicPr/>
                  </pic:nvPicPr>
                  <pic:blipFill>
                    <a:blip r:embed="rId10"/>
                    <a:stretch>
                      <a:fillRect/>
                    </a:stretch>
                  </pic:blipFill>
                  <pic:spPr>
                    <a:xfrm>
                      <a:off x="0" y="0"/>
                      <a:ext cx="5852160" cy="3077025"/>
                    </a:xfrm>
                    <a:prstGeom prst="rect"/>
                  </pic:spPr>
                </pic:pic>
              </a:graphicData>
            </a:graphic>
          </wp:inline>
        </w:drawing>
      </w:r>
    </w:p>
    <w:p>
      <w:pPr>
        <w:jc w:val="left"/>
      </w:pPr>
      <w:r>
        <w:rPr>
          <w:b/>
        </w:rPr>
        <w:t>Figure 1. Legacy Standard Audit. Technological change triggers reassessment, but redesign requires transition-adjusted evidence.</w:t>
      </w:r>
    </w:p>
    <w:p>
      <w:r>
        <w:t>Table 1 defines the five audit stages. A case can show positive static regret and still retain the incumbent if discounted benefits do not exceed conversion, coordination, stranded-asset, safety, or regulatory costs. Conversely, a null case is informative because it demonstrates that persistence need not indicate technological inertia.</w:t>
      </w:r>
    </w:p>
    <w:p>
      <w:pPr>
        <w:jc w:val="left"/>
      </w:pPr>
      <w:r>
        <w:rPr>
          <w:b/>
        </w:rPr>
        <w:t>Table 1. Legacy Standard Audit stages.</w:t>
      </w:r>
    </w:p>
    <w:tbl>
      <w:tblPr>
        <w:tblStyle w:val="TableGrid"/>
        <w:tblW w:type="auto" w:w="0"/>
        <w:tblLayout w:type="autofit"/>
        <w:tblLook w:firstColumn="1" w:firstRow="1" w:lastColumn="0" w:lastRow="0" w:noHBand="0" w:noVBand="1" w:val="04A0"/>
      </w:tblPr>
      <w:tblGrid>
        <w:gridCol w:w="3120"/>
        <w:gridCol w:w="3120"/>
        <w:gridCol w:w="3120"/>
      </w:tblGrid>
      <w:tr>
        <w:trPr>
          <w:tblHeader/>
          <w:cantSplit/>
        </w:trPr>
        <w:tc>
          <w:tcPr>
            <w:tcW w:type="dxa" w:w="3120"/>
            <w:vAlign w:val="center"/>
            <w:shd w:fill="D9EAF7"/>
          </w:tcPr>
          <w:p>
            <w:pPr>
              <w:spacing w:after="0"/>
            </w:pPr>
            <w:r/>
            <w:r>
              <w:rPr>
                <w:rFonts w:ascii="Times New Roman" w:hAnsi="Times New Roman"/>
                <w:b/>
                <w:sz w:val="18"/>
              </w:rPr>
              <w:t>Audit stage</w:t>
            </w:r>
          </w:p>
        </w:tc>
        <w:tc>
          <w:tcPr>
            <w:tcW w:type="dxa" w:w="3120"/>
            <w:vAlign w:val="center"/>
            <w:shd w:fill="D9EAF7"/>
          </w:tcPr>
          <w:p>
            <w:pPr>
              <w:spacing w:after="0"/>
            </w:pPr>
            <w:r/>
            <w:r>
              <w:rPr>
                <w:rFonts w:ascii="Times New Roman" w:hAnsi="Times New Roman"/>
                <w:b/>
                <w:sz w:val="18"/>
              </w:rPr>
              <w:t>Required evidence</w:t>
            </w:r>
          </w:p>
        </w:tc>
        <w:tc>
          <w:tcPr>
            <w:tcW w:type="dxa" w:w="3120"/>
            <w:vAlign w:val="center"/>
            <w:shd w:fill="D9EAF7"/>
          </w:tcPr>
          <w:p>
            <w:pPr>
              <w:spacing w:after="0"/>
            </w:pPr>
            <w:r/>
            <w:r>
              <w:rPr>
                <w:rFonts w:ascii="Times New Roman" w:hAnsi="Times New Roman"/>
                <w:b/>
                <w:sz w:val="18"/>
              </w:rPr>
              <w:t>Decision output</w:t>
            </w:r>
          </w:p>
        </w:tc>
      </w:tr>
      <w:tr>
        <w:trPr>
          <w:cantSplit/>
        </w:trPr>
        <w:tc>
          <w:tcPr>
            <w:tcW w:type="dxa" w:w="3120"/>
            <w:vAlign w:val="center"/>
          </w:tcPr>
          <w:p>
            <w:pPr>
              <w:spacing w:after="0"/>
            </w:pPr>
            <w:r/>
            <w:r>
              <w:rPr>
                <w:rFonts w:ascii="Times New Roman" w:hAnsi="Times New Roman"/>
                <w:b w:val="0"/>
                <w:sz w:val="18"/>
              </w:rPr>
              <w:t>Historical reconstruction</w:t>
            </w:r>
          </w:p>
        </w:tc>
        <w:tc>
          <w:tcPr>
            <w:tcW w:type="dxa" w:w="3120"/>
            <w:vAlign w:val="center"/>
          </w:tcPr>
          <w:p>
            <w:pPr>
              <w:spacing w:after="0"/>
            </w:pPr>
            <w:r/>
            <w:r>
              <w:rPr>
                <w:rFonts w:ascii="Times New Roman" w:hAnsi="Times New Roman"/>
                <w:b w:val="0"/>
                <w:sz w:val="18"/>
              </w:rPr>
              <w:t>Objective, information set, feasible set, coordination conditions</w:t>
            </w:r>
          </w:p>
        </w:tc>
        <w:tc>
          <w:tcPr>
            <w:tcW w:type="dxa" w:w="3120"/>
            <w:vAlign w:val="center"/>
          </w:tcPr>
          <w:p>
            <w:pPr>
              <w:spacing w:after="0"/>
            </w:pPr>
            <w:r/>
            <w:r>
              <w:rPr>
                <w:rFonts w:ascii="Times New Roman" w:hAnsi="Times New Roman"/>
                <w:b w:val="0"/>
                <w:sz w:val="18"/>
              </w:rPr>
              <w:t>Historically defensible incumbent problem</w:t>
            </w:r>
          </w:p>
        </w:tc>
      </w:tr>
      <w:tr>
        <w:trPr>
          <w:cantSplit/>
        </w:trPr>
        <w:tc>
          <w:tcPr>
            <w:tcW w:type="dxa" w:w="3120"/>
            <w:vAlign w:val="center"/>
          </w:tcPr>
          <w:p>
            <w:pPr>
              <w:spacing w:after="0"/>
            </w:pPr>
            <w:r/>
            <w:r>
              <w:rPr>
                <w:rFonts w:ascii="Times New Roman" w:hAnsi="Times New Roman"/>
                <w:b w:val="0"/>
                <w:sz w:val="18"/>
              </w:rPr>
              <w:t>Technology-mediated change</w:t>
            </w:r>
          </w:p>
        </w:tc>
        <w:tc>
          <w:tcPr>
            <w:tcW w:type="dxa" w:w="3120"/>
            <w:vAlign w:val="center"/>
          </w:tcPr>
          <w:p>
            <w:pPr>
              <w:spacing w:after="0"/>
            </w:pPr>
            <w:r/>
            <w:r>
              <w:rPr>
                <w:rFonts w:ascii="Times New Roman" w:hAnsi="Times New Roman"/>
                <w:b w:val="0"/>
                <w:sz w:val="18"/>
              </w:rPr>
              <w:t>Sensing, computation, communication, automation, adaptive control</w:t>
            </w:r>
          </w:p>
        </w:tc>
        <w:tc>
          <w:tcPr>
            <w:tcW w:type="dxa" w:w="3120"/>
            <w:vAlign w:val="center"/>
          </w:tcPr>
          <w:p>
            <w:pPr>
              <w:spacing w:after="0"/>
            </w:pPr>
            <w:r/>
            <w:r>
              <w:rPr>
                <w:rFonts w:ascii="Times New Roman" w:hAnsi="Times New Roman"/>
                <w:b w:val="0"/>
                <w:sz w:val="18"/>
              </w:rPr>
              <w:t>Changed parameter or feasible-set claim</w:t>
            </w:r>
          </w:p>
        </w:tc>
      </w:tr>
      <w:tr>
        <w:trPr>
          <w:cantSplit/>
        </w:trPr>
        <w:tc>
          <w:tcPr>
            <w:tcW w:type="dxa" w:w="3120"/>
            <w:vAlign w:val="center"/>
          </w:tcPr>
          <w:p>
            <w:pPr>
              <w:spacing w:after="0"/>
            </w:pPr>
            <w:r/>
            <w:r>
              <w:rPr>
                <w:rFonts w:ascii="Times New Roman" w:hAnsi="Times New Roman"/>
                <w:b w:val="0"/>
                <w:sz w:val="18"/>
              </w:rPr>
              <w:t>Static audit</w:t>
            </w:r>
          </w:p>
        </w:tc>
        <w:tc>
          <w:tcPr>
            <w:tcW w:type="dxa" w:w="3120"/>
            <w:vAlign w:val="center"/>
          </w:tcPr>
          <w:p>
            <w:pPr>
              <w:spacing w:after="0"/>
            </w:pPr>
            <w:r/>
            <w:r>
              <w:rPr>
                <w:rFonts w:ascii="Times New Roman" w:hAnsi="Times New Roman"/>
                <w:b w:val="0"/>
                <w:sz w:val="18"/>
              </w:rPr>
              <w:t>Incumbent and contemporary comparator under a common objective</w:t>
            </w:r>
          </w:p>
        </w:tc>
        <w:tc>
          <w:tcPr>
            <w:tcW w:type="dxa" w:w="3120"/>
            <w:vAlign w:val="center"/>
          </w:tcPr>
          <w:p>
            <w:pPr>
              <w:spacing w:after="0"/>
            </w:pPr>
            <w:r/>
            <w:r>
              <w:rPr>
                <w:rFonts w:ascii="Times New Roman" w:hAnsi="Times New Roman"/>
                <w:b w:val="0"/>
                <w:sz w:val="18"/>
              </w:rPr>
              <w:t>Case-specific frictionless regret</w:t>
            </w:r>
          </w:p>
        </w:tc>
      </w:tr>
      <w:tr>
        <w:trPr>
          <w:cantSplit/>
        </w:trPr>
        <w:tc>
          <w:tcPr>
            <w:tcW w:type="dxa" w:w="3120"/>
            <w:vAlign w:val="center"/>
          </w:tcPr>
          <w:p>
            <w:pPr>
              <w:spacing w:after="0"/>
            </w:pPr>
            <w:r/>
            <w:r>
              <w:rPr>
                <w:rFonts w:ascii="Times New Roman" w:hAnsi="Times New Roman"/>
                <w:b w:val="0"/>
                <w:sz w:val="18"/>
              </w:rPr>
              <w:t>Transition audit</w:t>
            </w:r>
          </w:p>
        </w:tc>
        <w:tc>
          <w:tcPr>
            <w:tcW w:type="dxa" w:w="3120"/>
            <w:vAlign w:val="center"/>
          </w:tcPr>
          <w:p>
            <w:pPr>
              <w:spacing w:after="0"/>
            </w:pPr>
            <w:r/>
            <w:r>
              <w:rPr>
                <w:rFonts w:ascii="Times New Roman" w:hAnsi="Times New Roman"/>
                <w:b w:val="0"/>
                <w:sz w:val="18"/>
              </w:rPr>
              <w:t>Switching, compatibility, safety, regulation, network effects</w:t>
            </w:r>
          </w:p>
        </w:tc>
        <w:tc>
          <w:tcPr>
            <w:tcW w:type="dxa" w:w="3120"/>
            <w:vAlign w:val="center"/>
          </w:tcPr>
          <w:p>
            <w:pPr>
              <w:spacing w:after="0"/>
            </w:pPr>
            <w:r/>
            <w:r>
              <w:rPr>
                <w:rFonts w:ascii="Times New Roman" w:hAnsi="Times New Roman"/>
                <w:b w:val="0"/>
                <w:sz w:val="18"/>
              </w:rPr>
              <w:t>Transition-adjusted regret or break-even condition</w:t>
            </w:r>
          </w:p>
        </w:tc>
      </w:tr>
      <w:tr>
        <w:trPr>
          <w:cantSplit/>
        </w:trPr>
        <w:tc>
          <w:tcPr>
            <w:tcW w:type="dxa" w:w="3120"/>
            <w:vAlign w:val="center"/>
          </w:tcPr>
          <w:p>
            <w:pPr>
              <w:spacing w:after="0"/>
            </w:pPr>
            <w:r/>
            <w:r>
              <w:rPr>
                <w:rFonts w:ascii="Times New Roman" w:hAnsi="Times New Roman"/>
                <w:b w:val="0"/>
                <w:sz w:val="18"/>
              </w:rPr>
              <w:t>Governance</w:t>
            </w:r>
          </w:p>
        </w:tc>
        <w:tc>
          <w:tcPr>
            <w:tcW w:type="dxa" w:w="3120"/>
            <w:vAlign w:val="center"/>
          </w:tcPr>
          <w:p>
            <w:pPr>
              <w:spacing w:after="0"/>
            </w:pPr>
            <w:r/>
            <w:r>
              <w:rPr>
                <w:rFonts w:ascii="Times New Roman" w:hAnsi="Times New Roman"/>
                <w:b w:val="0"/>
                <w:sz w:val="18"/>
              </w:rPr>
              <w:t>Frozen cases, uncertainty, null controls, falsification</w:t>
            </w:r>
          </w:p>
        </w:tc>
        <w:tc>
          <w:tcPr>
            <w:tcW w:type="dxa" w:w="3120"/>
            <w:vAlign w:val="center"/>
          </w:tcPr>
          <w:p>
            <w:pPr>
              <w:spacing w:after="0"/>
            </w:pPr>
            <w:r/>
            <w:r>
              <w:rPr>
                <w:rFonts w:ascii="Times New Roman" w:hAnsi="Times New Roman"/>
                <w:b w:val="0"/>
                <w:sz w:val="18"/>
              </w:rPr>
              <w:t>Material, uncertain, null, or insufficient classification</w:t>
            </w:r>
          </w:p>
        </w:tc>
      </w:tr>
    </w:tbl>
    <w:p/>
    <w:p>
      <w:pPr>
        <w:pStyle w:val="Heading1"/>
      </w:pPr>
      <w:r>
        <w:t>4. Data and pre-specified methods</w:t>
      </w:r>
    </w:p>
    <w:p>
      <w:r>
        <w:t>Candidate selection preceded confirmatory estimation. The registry covered the built environment, transport, automotive interfaces, work, education, healthcare, packaging, paper and digital legacies, utilities, household and demographic systems, information-scarcity systems, and null controls. Screening used historical evidence, technology relevance, decision clarity, public-data availability, identifiability, counterfactual feasibility, transition-cost feasibility, source quality, and comparability. Expected direction, magnitude, and statistical significance were excluded from selection. The frozen roles were four primary cases, one supplementary case, one network control, and one analytic null control.</w:t>
      </w:r>
    </w:p>
    <w:p>
      <w:r>
        <w:t>Every public input was saved as a local raw snapshot and registered with its URL, identifier, version, access time, retrieval conditions, file size, SHA-256 hash, terms, and completeness. Raw inputs were not overwritten. Analysis configuration, random seed, and bootstrap settings were fixed in a machine-readable configuration. Temporal uncertainty used circular block resampling; the C-MAPSS engine was the independent simulation unit.</w:t>
      </w:r>
    </w:p>
    <w:p>
      <w:r>
        <w:t>Classifications were operational decision labels rather than significance tests. BE03 required the lower uncertainty bound to exceed 20% with no labeled occupied false-off events; WK07 required a positive lower regret bound and relative regret above 5%; UI09 required the lower normalized-regret bound to exceed 5%. UI01 remained uncertain because response and equilibrium were not identified, while TR01 and NC01 required incumbent and transition evidence unavailable in the registered sources. The thresholds organize the frozen audit and are not universal welfare criteria.</w:t>
      </w:r>
    </w:p>
    <w:p>
      <w:r>
        <w:t>BE03 compares a weekday 07:00–19:00 nominal lighting schedule with an oracle occupancy policy using a 10-minute hold. WK07 uses NASA C-MAPSS FD001 simulated run-to-failure trajectories to compare a training-selected fixed replacement age with perfect remaining-life condition information. UI01 conserves daily energy while shifting a bounded fraction of the observed German-Luxembourg load profile toward lower observed day-ahead prices; prices are not re-equilibrated. UI09 calculates FAO-56 reference evapotranspiration from NASA POWER weather and compares a training-period calendar application with perfect-weather weekly requirements. TR01 is limited to a directional demand-allocation proxy. NC01 and NC03 test, respectively, an unquantified compatibility case and an exact geometric null. Source attribution is UCI Machine Learning Repository (2024) for BE03, National Aeronautics and Space Administration (n.d.) for WK07, Open Power System Data (2020) for UI01, Food and Agriculture Organization of the United Nations (2025) and National Aeronautics and Space Administration POWER Project (n.d.) for UI09, United States Federal Highway Administration (2008) and New York City Department of Transportation (n.d.) for TR01, and International Organization for Standardization (2007, 2020) for the controls.</w:t>
      </w:r>
    </w:p>
    <w:p>
      <w:r>
        <w:t>Table 2 lists the analysis unit, comparator, and primary threat to interpretation for each frozen case. These limitations are part of the result rather than post-estimation caveats.</w:t>
      </w:r>
    </w:p>
    <w:p>
      <w:pPr>
        <w:jc w:val="left"/>
      </w:pPr>
      <w:r>
        <w:rPr>
          <w:b/>
        </w:rPr>
        <w:t>Table 2. Frozen case design and evidentiary limits.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cantSplit/>
        </w:trPr>
        <w:tc>
          <w:tcPr>
            <w:tcW w:type="dxa" w:w="1560"/>
            <w:vAlign w:val="center"/>
            <w:shd w:fill="D9EAF7"/>
          </w:tcPr>
          <w:p>
            <w:pPr>
              <w:spacing w:after="0"/>
            </w:pPr>
            <w:r/>
            <w:r>
              <w:rPr>
                <w:rFonts w:ascii="Times New Roman" w:hAnsi="Times New Roman"/>
                <w:b/>
                <w:sz w:val="18"/>
              </w:rPr>
              <w:t>Case</w:t>
            </w:r>
          </w:p>
        </w:tc>
        <w:tc>
          <w:tcPr>
            <w:tcW w:type="dxa" w:w="1560"/>
            <w:vAlign w:val="center"/>
            <w:shd w:fill="D9EAF7"/>
          </w:tcPr>
          <w:p>
            <w:pPr>
              <w:spacing w:after="0"/>
            </w:pPr>
            <w:r/>
            <w:r>
              <w:rPr>
                <w:rFonts w:ascii="Times New Roman" w:hAnsi="Times New Roman"/>
                <w:b/>
                <w:sz w:val="18"/>
              </w:rPr>
              <w:t>Role</w:t>
            </w:r>
          </w:p>
        </w:tc>
        <w:tc>
          <w:tcPr>
            <w:tcW w:type="dxa" w:w="1560"/>
            <w:vAlign w:val="center"/>
            <w:shd w:fill="D9EAF7"/>
          </w:tcPr>
          <w:p>
            <w:pPr>
              <w:spacing w:after="0"/>
            </w:pPr>
            <w:r/>
            <w:r>
              <w:rPr>
                <w:rFonts w:ascii="Times New Roman" w:hAnsi="Times New Roman"/>
                <w:b/>
                <w:sz w:val="18"/>
              </w:rPr>
              <w:t>Persisted input</w:t>
            </w:r>
          </w:p>
        </w:tc>
        <w:tc>
          <w:tcPr>
            <w:tcW w:type="dxa" w:w="1560"/>
            <w:vAlign w:val="center"/>
            <w:shd w:fill="D9EAF7"/>
          </w:tcPr>
          <w:p>
            <w:pPr>
              <w:spacing w:after="0"/>
            </w:pPr>
            <w:r/>
            <w:r>
              <w:rPr>
                <w:rFonts w:ascii="Times New Roman" w:hAnsi="Times New Roman"/>
                <w:b/>
                <w:sz w:val="18"/>
              </w:rPr>
              <w:t>Analysis unit</w:t>
            </w:r>
          </w:p>
        </w:tc>
        <w:tc>
          <w:tcPr>
            <w:tcW w:type="dxa" w:w="1560"/>
            <w:vAlign w:val="center"/>
            <w:shd w:fill="D9EAF7"/>
          </w:tcPr>
          <w:p>
            <w:pPr>
              <w:spacing w:after="0"/>
            </w:pPr>
            <w:r/>
            <w:r>
              <w:rPr>
                <w:rFonts w:ascii="Times New Roman" w:hAnsi="Times New Roman"/>
                <w:b/>
                <w:sz w:val="18"/>
              </w:rPr>
              <w:t>Contemporary comparator</w:t>
            </w:r>
          </w:p>
        </w:tc>
        <w:tc>
          <w:tcPr>
            <w:tcW w:type="dxa" w:w="1560"/>
            <w:vAlign w:val="center"/>
            <w:shd w:fill="D9EAF7"/>
          </w:tcPr>
          <w:p>
            <w:pPr>
              <w:spacing w:after="0"/>
            </w:pPr>
            <w:r/>
            <w:r>
              <w:rPr>
                <w:rFonts w:ascii="Times New Roman" w:hAnsi="Times New Roman"/>
                <w:b/>
                <w:sz w:val="18"/>
              </w:rPr>
              <w:t>Critical limitation</w:t>
            </w:r>
          </w:p>
        </w:tc>
      </w:tr>
      <w:tr>
        <w:trPr>
          <w:cantSplit/>
        </w:trPr>
        <w:tc>
          <w:tcPr>
            <w:tcW w:type="dxa" w:w="1560"/>
            <w:vAlign w:val="center"/>
          </w:tcPr>
          <w:p>
            <w:pPr>
              <w:spacing w:after="0"/>
            </w:pPr>
            <w:r/>
            <w:r>
              <w:rPr>
                <w:rFonts w:ascii="Times New Roman" w:hAnsi="Times New Roman"/>
                <w:b w:val="0"/>
                <w:sz w:val="18"/>
              </w:rPr>
              <w:t>BE03</w:t>
            </w:r>
          </w:p>
        </w:tc>
        <w:tc>
          <w:tcPr>
            <w:tcW w:type="dxa" w:w="1560"/>
            <w:vAlign w:val="center"/>
          </w:tcPr>
          <w:p>
            <w:pPr>
              <w:spacing w:after="0"/>
            </w:pPr>
            <w:r/>
            <w:r>
              <w:rPr>
                <w:rFonts w:ascii="Times New Roman" w:hAnsi="Times New Roman"/>
                <w:b w:val="0"/>
                <w:sz w:val="18"/>
              </w:rPr>
              <w:t>Primary</w:t>
            </w:r>
          </w:p>
        </w:tc>
        <w:tc>
          <w:tcPr>
            <w:tcW w:type="dxa" w:w="1560"/>
            <w:vAlign w:val="center"/>
          </w:tcPr>
          <w:p>
            <w:pPr>
              <w:spacing w:after="0"/>
            </w:pPr>
            <w:r/>
            <w:r>
              <w:rPr>
                <w:rFonts w:ascii="Times New Roman" w:hAnsi="Times New Roman"/>
                <w:b w:val="0"/>
                <w:sz w:val="18"/>
              </w:rPr>
              <w:t>UCI office occupancy</w:t>
            </w:r>
          </w:p>
        </w:tc>
        <w:tc>
          <w:tcPr>
            <w:tcW w:type="dxa" w:w="1560"/>
            <w:vAlign w:val="center"/>
          </w:tcPr>
          <w:p>
            <w:pPr>
              <w:spacing w:after="0"/>
            </w:pPr>
            <w:r/>
            <w:r>
              <w:rPr>
                <w:rFonts w:ascii="Times New Roman" w:hAnsi="Times New Roman"/>
                <w:b w:val="0"/>
                <w:sz w:val="18"/>
              </w:rPr>
              <w:t>20,560 minute-observations</w:t>
            </w:r>
          </w:p>
        </w:tc>
        <w:tc>
          <w:tcPr>
            <w:tcW w:type="dxa" w:w="1560"/>
            <w:vAlign w:val="center"/>
          </w:tcPr>
          <w:p>
            <w:pPr>
              <w:spacing w:after="0"/>
            </w:pPr>
            <w:r/>
            <w:r>
              <w:rPr>
                <w:rFonts w:ascii="Times New Roman" w:hAnsi="Times New Roman"/>
                <w:b w:val="0"/>
                <w:sz w:val="18"/>
              </w:rPr>
              <w:t>Oracle occupancy control, 10-minute hold</w:t>
            </w:r>
          </w:p>
        </w:tc>
        <w:tc>
          <w:tcPr>
            <w:tcW w:type="dxa" w:w="1560"/>
            <w:vAlign w:val="center"/>
          </w:tcPr>
          <w:p>
            <w:pPr>
              <w:spacing w:after="0"/>
            </w:pPr>
            <w:r/>
            <w:r>
              <w:rPr>
                <w:rFonts w:ascii="Times New Roman" w:hAnsi="Times New Roman"/>
                <w:b w:val="0"/>
                <w:sz w:val="18"/>
              </w:rPr>
              <w:t>No sensor error, power, commissioning, or installation cost</w:t>
            </w:r>
          </w:p>
        </w:tc>
      </w:tr>
      <w:tr>
        <w:trPr>
          <w:cantSplit/>
        </w:trPr>
        <w:tc>
          <w:tcPr>
            <w:tcW w:type="dxa" w:w="1560"/>
            <w:vAlign w:val="center"/>
          </w:tcPr>
          <w:p>
            <w:pPr>
              <w:spacing w:after="0"/>
            </w:pPr>
            <w:r/>
            <w:r>
              <w:rPr>
                <w:rFonts w:ascii="Times New Roman" w:hAnsi="Times New Roman"/>
                <w:b w:val="0"/>
                <w:sz w:val="18"/>
              </w:rPr>
              <w:t>WK07</w:t>
            </w:r>
          </w:p>
        </w:tc>
        <w:tc>
          <w:tcPr>
            <w:tcW w:type="dxa" w:w="1560"/>
            <w:vAlign w:val="center"/>
          </w:tcPr>
          <w:p>
            <w:pPr>
              <w:spacing w:after="0"/>
            </w:pPr>
            <w:r/>
            <w:r>
              <w:rPr>
                <w:rFonts w:ascii="Times New Roman" w:hAnsi="Times New Roman"/>
                <w:b w:val="0"/>
                <w:sz w:val="18"/>
              </w:rPr>
              <w:t>Primary</w:t>
            </w:r>
          </w:p>
        </w:tc>
        <w:tc>
          <w:tcPr>
            <w:tcW w:type="dxa" w:w="1560"/>
            <w:vAlign w:val="center"/>
          </w:tcPr>
          <w:p>
            <w:pPr>
              <w:spacing w:after="0"/>
            </w:pPr>
            <w:r/>
            <w:r>
              <w:rPr>
                <w:rFonts w:ascii="Times New Roman" w:hAnsi="Times New Roman"/>
                <w:b w:val="0"/>
                <w:sz w:val="18"/>
              </w:rPr>
              <w:t>NASA C-MAPSS FD001 simulation</w:t>
            </w:r>
          </w:p>
        </w:tc>
        <w:tc>
          <w:tcPr>
            <w:tcW w:type="dxa" w:w="1560"/>
            <w:vAlign w:val="center"/>
          </w:tcPr>
          <w:p>
            <w:pPr>
              <w:spacing w:after="0"/>
            </w:pPr>
            <w:r/>
            <w:r>
              <w:rPr>
                <w:rFonts w:ascii="Times New Roman" w:hAnsi="Times New Roman"/>
                <w:b w:val="0"/>
                <w:sz w:val="18"/>
              </w:rPr>
              <w:t>100 evaluation units</w:t>
            </w:r>
          </w:p>
        </w:tc>
        <w:tc>
          <w:tcPr>
            <w:tcW w:type="dxa" w:w="1560"/>
            <w:vAlign w:val="center"/>
          </w:tcPr>
          <w:p>
            <w:pPr>
              <w:spacing w:after="0"/>
            </w:pPr>
            <w:r/>
            <w:r>
              <w:rPr>
                <w:rFonts w:ascii="Times New Roman" w:hAnsi="Times New Roman"/>
                <w:b w:val="0"/>
                <w:sz w:val="18"/>
              </w:rPr>
              <w:t>Perfect remaining-life condition policy</w:t>
            </w:r>
          </w:p>
        </w:tc>
        <w:tc>
          <w:tcPr>
            <w:tcW w:type="dxa" w:w="1560"/>
            <w:vAlign w:val="center"/>
          </w:tcPr>
          <w:p>
            <w:pPr>
              <w:spacing w:after="0"/>
            </w:pPr>
            <w:r/>
            <w:r>
              <w:rPr>
                <w:rFonts w:ascii="Times New Roman" w:hAnsi="Times New Roman"/>
                <w:b w:val="0"/>
                <w:sz w:val="18"/>
              </w:rPr>
              <w:t>Simulated trajectories; no observed maintenance program</w:t>
            </w:r>
          </w:p>
        </w:tc>
      </w:tr>
      <w:tr>
        <w:trPr>
          <w:cantSplit/>
        </w:trPr>
        <w:tc>
          <w:tcPr>
            <w:tcW w:type="dxa" w:w="1560"/>
            <w:vAlign w:val="center"/>
          </w:tcPr>
          <w:p>
            <w:pPr>
              <w:spacing w:after="0"/>
            </w:pPr>
            <w:r/>
            <w:r>
              <w:rPr>
                <w:rFonts w:ascii="Times New Roman" w:hAnsi="Times New Roman"/>
                <w:b w:val="0"/>
                <w:sz w:val="18"/>
              </w:rPr>
              <w:t>UI01</w:t>
            </w:r>
          </w:p>
        </w:tc>
        <w:tc>
          <w:tcPr>
            <w:tcW w:type="dxa" w:w="1560"/>
            <w:vAlign w:val="center"/>
          </w:tcPr>
          <w:p>
            <w:pPr>
              <w:spacing w:after="0"/>
            </w:pPr>
            <w:r/>
            <w:r>
              <w:rPr>
                <w:rFonts w:ascii="Times New Roman" w:hAnsi="Times New Roman"/>
                <w:b w:val="0"/>
                <w:sz w:val="18"/>
              </w:rPr>
              <w:t>Primary</w:t>
            </w:r>
          </w:p>
        </w:tc>
        <w:tc>
          <w:tcPr>
            <w:tcW w:type="dxa" w:w="1560"/>
            <w:vAlign w:val="center"/>
          </w:tcPr>
          <w:p>
            <w:pPr>
              <w:spacing w:after="0"/>
            </w:pPr>
            <w:r/>
            <w:r>
              <w:rPr>
                <w:rFonts w:ascii="Times New Roman" w:hAnsi="Times New Roman"/>
                <w:b w:val="0"/>
                <w:sz w:val="18"/>
              </w:rPr>
              <w:t>OPSD load and day-ahead prices</w:t>
            </w:r>
          </w:p>
        </w:tc>
        <w:tc>
          <w:tcPr>
            <w:tcW w:type="dxa" w:w="1560"/>
            <w:vAlign w:val="center"/>
          </w:tcPr>
          <w:p>
            <w:pPr>
              <w:spacing w:after="0"/>
            </w:pPr>
            <w:r/>
            <w:r>
              <w:rPr>
                <w:rFonts w:ascii="Times New Roman" w:hAnsi="Times New Roman"/>
                <w:b w:val="0"/>
                <w:sz w:val="18"/>
              </w:rPr>
              <w:t>725 complete days</w:t>
            </w:r>
          </w:p>
        </w:tc>
        <w:tc>
          <w:tcPr>
            <w:tcW w:type="dxa" w:w="1560"/>
            <w:vAlign w:val="center"/>
          </w:tcPr>
          <w:p>
            <w:pPr>
              <w:spacing w:after="0"/>
            </w:pPr>
            <w:r/>
            <w:r>
              <w:rPr>
                <w:rFonts w:ascii="Times New Roman" w:hAnsi="Times New Roman"/>
                <w:b w:val="0"/>
                <w:sz w:val="18"/>
              </w:rPr>
              <w:t>1.0% bounded load shift</w:t>
            </w:r>
          </w:p>
        </w:tc>
        <w:tc>
          <w:tcPr>
            <w:tcW w:type="dxa" w:w="1560"/>
            <w:vAlign w:val="center"/>
          </w:tcPr>
          <w:p>
            <w:pPr>
              <w:spacing w:after="0"/>
            </w:pPr>
            <w:r/>
            <w:r>
              <w:rPr>
                <w:rFonts w:ascii="Times New Roman" w:hAnsi="Times New Roman"/>
                <w:b w:val="0"/>
                <w:sz w:val="18"/>
              </w:rPr>
              <w:t>Fixed prices; no tariff assignment or customer response</w:t>
            </w:r>
          </w:p>
        </w:tc>
      </w:tr>
      <w:tr>
        <w:trPr>
          <w:cantSplit/>
        </w:trPr>
        <w:tc>
          <w:tcPr>
            <w:tcW w:type="dxa" w:w="1560"/>
            <w:vAlign w:val="center"/>
          </w:tcPr>
          <w:p>
            <w:pPr>
              <w:spacing w:after="0"/>
            </w:pPr>
            <w:r/>
            <w:r>
              <w:rPr>
                <w:rFonts w:ascii="Times New Roman" w:hAnsi="Times New Roman"/>
                <w:b w:val="0"/>
                <w:sz w:val="18"/>
              </w:rPr>
              <w:t>UI09</w:t>
            </w:r>
          </w:p>
        </w:tc>
        <w:tc>
          <w:tcPr>
            <w:tcW w:type="dxa" w:w="1560"/>
            <w:vAlign w:val="center"/>
          </w:tcPr>
          <w:p>
            <w:pPr>
              <w:spacing w:after="0"/>
            </w:pPr>
            <w:r/>
            <w:r>
              <w:rPr>
                <w:rFonts w:ascii="Times New Roman" w:hAnsi="Times New Roman"/>
                <w:b w:val="0"/>
                <w:sz w:val="18"/>
              </w:rPr>
              <w:t>Primary</w:t>
            </w:r>
          </w:p>
        </w:tc>
        <w:tc>
          <w:tcPr>
            <w:tcW w:type="dxa" w:w="1560"/>
            <w:vAlign w:val="center"/>
          </w:tcPr>
          <w:p>
            <w:pPr>
              <w:spacing w:after="0"/>
            </w:pPr>
            <w:r/>
            <w:r>
              <w:rPr>
                <w:rFonts w:ascii="Times New Roman" w:hAnsi="Times New Roman"/>
                <w:b w:val="0"/>
                <w:sz w:val="18"/>
              </w:rPr>
              <w:t>NASA POWER weather and FAO-56</w:t>
            </w:r>
          </w:p>
        </w:tc>
        <w:tc>
          <w:tcPr>
            <w:tcW w:type="dxa" w:w="1560"/>
            <w:vAlign w:val="center"/>
          </w:tcPr>
          <w:p>
            <w:pPr>
              <w:spacing w:after="0"/>
            </w:pPr>
            <w:r/>
            <w:r>
              <w:rPr>
                <w:rFonts w:ascii="Times New Roman" w:hAnsi="Times New Roman"/>
                <w:b w:val="0"/>
                <w:sz w:val="18"/>
              </w:rPr>
              <w:t>135 evaluation weeks</w:t>
            </w:r>
          </w:p>
        </w:tc>
        <w:tc>
          <w:tcPr>
            <w:tcW w:type="dxa" w:w="1560"/>
            <w:vAlign w:val="center"/>
          </w:tcPr>
          <w:p>
            <w:pPr>
              <w:spacing w:after="0"/>
            </w:pPr>
            <w:r/>
            <w:r>
              <w:rPr>
                <w:rFonts w:ascii="Times New Roman" w:hAnsi="Times New Roman"/>
                <w:b w:val="0"/>
                <w:sz w:val="18"/>
              </w:rPr>
              <w:t>Perfect-weather reference-crop requirement</w:t>
            </w:r>
          </w:p>
        </w:tc>
        <w:tc>
          <w:tcPr>
            <w:tcW w:type="dxa" w:w="1560"/>
            <w:vAlign w:val="center"/>
          </w:tcPr>
          <w:p>
            <w:pPr>
              <w:spacing w:after="0"/>
            </w:pPr>
            <w:r/>
            <w:r>
              <w:rPr>
                <w:rFonts w:ascii="Times New Roman" w:hAnsi="Times New Roman"/>
                <w:b w:val="0"/>
                <w:sz w:val="18"/>
              </w:rPr>
              <w:t>No crop coefficient, soil storage, efficiency, or yield model</w:t>
            </w:r>
          </w:p>
        </w:tc>
      </w:tr>
      <w:tr>
        <w:trPr>
          <w:cantSplit/>
        </w:trPr>
        <w:tc>
          <w:tcPr>
            <w:tcW w:type="dxa" w:w="1560"/>
            <w:vAlign w:val="center"/>
          </w:tcPr>
          <w:p>
            <w:pPr>
              <w:spacing w:after="0"/>
            </w:pPr>
            <w:r/>
            <w:r>
              <w:rPr>
                <w:rFonts w:ascii="Times New Roman" w:hAnsi="Times New Roman"/>
                <w:b w:val="0"/>
                <w:sz w:val="18"/>
              </w:rPr>
              <w:t>TR01</w:t>
            </w:r>
          </w:p>
        </w:tc>
        <w:tc>
          <w:tcPr>
            <w:tcW w:type="dxa" w:w="1560"/>
            <w:vAlign w:val="center"/>
          </w:tcPr>
          <w:p>
            <w:pPr>
              <w:spacing w:after="0"/>
            </w:pPr>
            <w:r/>
            <w:r>
              <w:rPr>
                <w:rFonts w:ascii="Times New Roman" w:hAnsi="Times New Roman"/>
                <w:b w:val="0"/>
                <w:sz w:val="18"/>
              </w:rPr>
              <w:t>Supplementary</w:t>
            </w:r>
          </w:p>
        </w:tc>
        <w:tc>
          <w:tcPr>
            <w:tcW w:type="dxa" w:w="1560"/>
            <w:vAlign w:val="center"/>
          </w:tcPr>
          <w:p>
            <w:pPr>
              <w:spacing w:after="0"/>
            </w:pPr>
            <w:r/>
            <w:r>
              <w:rPr>
                <w:rFonts w:ascii="Times New Roman" w:hAnsi="Times New Roman"/>
                <w:b w:val="0"/>
                <w:sz w:val="18"/>
              </w:rPr>
              <w:t>NYC directional traffic counts</w:t>
            </w:r>
          </w:p>
        </w:tc>
        <w:tc>
          <w:tcPr>
            <w:tcW w:type="dxa" w:w="1560"/>
            <w:vAlign w:val="center"/>
          </w:tcPr>
          <w:p>
            <w:pPr>
              <w:spacing w:after="0"/>
            </w:pPr>
            <w:r/>
            <w:r>
              <w:rPr>
                <w:rFonts w:ascii="Times New Roman" w:hAnsi="Times New Roman"/>
                <w:b w:val="0"/>
                <w:sz w:val="18"/>
              </w:rPr>
              <w:t>18 evaluation days</w:t>
            </w:r>
          </w:p>
        </w:tc>
        <w:tc>
          <w:tcPr>
            <w:tcW w:type="dxa" w:w="1560"/>
            <w:vAlign w:val="center"/>
          </w:tcPr>
          <w:p>
            <w:pPr>
              <w:spacing w:after="0"/>
            </w:pPr>
            <w:r/>
            <w:r>
              <w:rPr>
                <w:rFonts w:ascii="Times New Roman" w:hAnsi="Times New Roman"/>
                <w:b w:val="0"/>
                <w:sz w:val="18"/>
              </w:rPr>
              <w:t>Demand-proportional directional allocation proxy</w:t>
            </w:r>
          </w:p>
        </w:tc>
        <w:tc>
          <w:tcPr>
            <w:tcW w:type="dxa" w:w="1560"/>
            <w:vAlign w:val="center"/>
          </w:tcPr>
          <w:p>
            <w:pPr>
              <w:spacing w:after="0"/>
            </w:pPr>
            <w:r/>
            <w:r>
              <w:rPr>
                <w:rFonts w:ascii="Times New Roman" w:hAnsi="Times New Roman"/>
                <w:b w:val="0"/>
                <w:sz w:val="18"/>
              </w:rPr>
              <w:t>No verified intersection or deployed timing plan</w:t>
            </w:r>
          </w:p>
        </w:tc>
      </w:tr>
      <w:tr>
        <w:trPr>
          <w:cantSplit/>
        </w:trPr>
        <w:tc>
          <w:tcPr>
            <w:tcW w:type="dxa" w:w="1560"/>
            <w:vAlign w:val="center"/>
          </w:tcPr>
          <w:p>
            <w:pPr>
              <w:spacing w:after="0"/>
            </w:pPr>
            <w:r/>
            <w:r>
              <w:rPr>
                <w:rFonts w:ascii="Times New Roman" w:hAnsi="Times New Roman"/>
                <w:b w:val="0"/>
                <w:sz w:val="18"/>
              </w:rPr>
              <w:t>NC01</w:t>
            </w:r>
          </w:p>
        </w:tc>
        <w:tc>
          <w:tcPr>
            <w:tcW w:type="dxa" w:w="1560"/>
            <w:vAlign w:val="center"/>
          </w:tcPr>
          <w:p>
            <w:pPr>
              <w:spacing w:after="0"/>
            </w:pPr>
            <w:r/>
            <w:r>
              <w:rPr>
                <w:rFonts w:ascii="Times New Roman" w:hAnsi="Times New Roman"/>
                <w:b w:val="0"/>
                <w:sz w:val="18"/>
              </w:rPr>
              <w:t>Network control</w:t>
            </w:r>
          </w:p>
        </w:tc>
        <w:tc>
          <w:tcPr>
            <w:tcW w:type="dxa" w:w="1560"/>
            <w:vAlign w:val="center"/>
          </w:tcPr>
          <w:p>
            <w:pPr>
              <w:spacing w:after="0"/>
            </w:pPr>
            <w:r/>
            <w:r>
              <w:rPr>
                <w:rFonts w:ascii="Times New Roman" w:hAnsi="Times New Roman"/>
                <w:b w:val="0"/>
                <w:sz w:val="18"/>
              </w:rPr>
              <w:t>ISO container-standard metadata</w:t>
            </w:r>
          </w:p>
        </w:tc>
        <w:tc>
          <w:tcPr>
            <w:tcW w:type="dxa" w:w="1560"/>
            <w:vAlign w:val="center"/>
          </w:tcPr>
          <w:p>
            <w:pPr>
              <w:spacing w:after="0"/>
            </w:pPr>
            <w:r/>
            <w:r>
              <w:rPr>
                <w:rFonts w:ascii="Times New Roman" w:hAnsi="Times New Roman"/>
                <w:b w:val="0"/>
                <w:sz w:val="18"/>
              </w:rPr>
              <w:t>Not estimable</w:t>
            </w:r>
          </w:p>
        </w:tc>
        <w:tc>
          <w:tcPr>
            <w:tcW w:type="dxa" w:w="1560"/>
            <w:vAlign w:val="center"/>
          </w:tcPr>
          <w:p>
            <w:pPr>
              <w:spacing w:after="0"/>
            </w:pPr>
            <w:r/>
            <w:r>
              <w:rPr>
                <w:rFonts w:ascii="Times New Roman" w:hAnsi="Times New Roman"/>
                <w:b w:val="0"/>
                <w:sz w:val="18"/>
              </w:rPr>
              <w:t>Break-even identity only</w:t>
            </w:r>
          </w:p>
        </w:tc>
        <w:tc>
          <w:tcPr>
            <w:tcW w:type="dxa" w:w="1560"/>
            <w:vAlign w:val="center"/>
          </w:tcPr>
          <w:p>
            <w:pPr>
              <w:spacing w:after="0"/>
            </w:pPr>
            <w:r/>
            <w:r>
              <w:rPr>
                <w:rFonts w:ascii="Times New Roman" w:hAnsi="Times New Roman"/>
                <w:b w:val="0"/>
                <w:sz w:val="18"/>
              </w:rPr>
              <w:t>No fleet, conversion, or network-cost data</w:t>
            </w:r>
          </w:p>
        </w:tc>
      </w:tr>
      <w:tr>
        <w:trPr>
          <w:cantSplit/>
        </w:trPr>
        <w:tc>
          <w:tcPr>
            <w:tcW w:type="dxa" w:w="1560"/>
            <w:vAlign w:val="center"/>
          </w:tcPr>
          <w:p>
            <w:pPr>
              <w:spacing w:after="0"/>
            </w:pPr>
            <w:r/>
            <w:r>
              <w:rPr>
                <w:rFonts w:ascii="Times New Roman" w:hAnsi="Times New Roman"/>
                <w:b w:val="0"/>
                <w:sz w:val="18"/>
              </w:rPr>
              <w:t>NC03</w:t>
            </w:r>
          </w:p>
        </w:tc>
        <w:tc>
          <w:tcPr>
            <w:tcW w:type="dxa" w:w="1560"/>
            <w:vAlign w:val="center"/>
          </w:tcPr>
          <w:p>
            <w:pPr>
              <w:spacing w:after="0"/>
            </w:pPr>
            <w:r/>
            <w:r>
              <w:rPr>
                <w:rFonts w:ascii="Times New Roman" w:hAnsi="Times New Roman"/>
                <w:b w:val="0"/>
                <w:sz w:val="18"/>
              </w:rPr>
              <w:t>Analytic null</w:t>
            </w:r>
          </w:p>
        </w:tc>
        <w:tc>
          <w:tcPr>
            <w:tcW w:type="dxa" w:w="1560"/>
            <w:vAlign w:val="center"/>
          </w:tcPr>
          <w:p>
            <w:pPr>
              <w:spacing w:after="0"/>
            </w:pPr>
            <w:r/>
            <w:r>
              <w:rPr>
                <w:rFonts w:ascii="Times New Roman" w:hAnsi="Times New Roman"/>
                <w:b w:val="0"/>
                <w:sz w:val="18"/>
              </w:rPr>
              <w:t>ISO 216 geometric principle</w:t>
            </w:r>
          </w:p>
        </w:tc>
        <w:tc>
          <w:tcPr>
            <w:tcW w:type="dxa" w:w="1560"/>
            <w:vAlign w:val="center"/>
          </w:tcPr>
          <w:p>
            <w:pPr>
              <w:spacing w:after="0"/>
            </w:pPr>
            <w:r/>
            <w:r>
              <w:rPr>
                <w:rFonts w:ascii="Times New Roman" w:hAnsi="Times New Roman"/>
                <w:b w:val="0"/>
                <w:sz w:val="18"/>
              </w:rPr>
              <w:t>Exact analytic objective</w:t>
            </w:r>
          </w:p>
        </w:tc>
        <w:tc>
          <w:tcPr>
            <w:tcW w:type="dxa" w:w="1560"/>
            <w:vAlign w:val="center"/>
          </w:tcPr>
          <w:p>
            <w:pPr>
              <w:spacing w:after="0"/>
            </w:pPr>
            <w:r/>
            <w:r>
              <w:rPr>
                <w:rFonts w:ascii="Times New Roman" w:hAnsi="Times New Roman"/>
                <w:b w:val="0"/>
                <w:sz w:val="18"/>
              </w:rPr>
              <w:t>Positive solution r = √2</w:t>
            </w:r>
          </w:p>
        </w:tc>
        <w:tc>
          <w:tcPr>
            <w:tcW w:type="dxa" w:w="1560"/>
            <w:vAlign w:val="center"/>
          </w:tcPr>
          <w:p>
            <w:pPr>
              <w:spacing w:after="0"/>
            </w:pPr>
            <w:r/>
            <w:r>
              <w:rPr>
                <w:rFonts w:ascii="Times New Roman" w:hAnsi="Times New Roman"/>
                <w:b w:val="0"/>
                <w:sz w:val="18"/>
              </w:rPr>
              <w:t>Applies only to repeated-halving similarity</w:t>
            </w:r>
          </w:p>
        </w:tc>
      </w:tr>
    </w:tbl>
    <w:p/>
    <w:p>
      <w:pPr>
        <w:pStyle w:val="Heading1"/>
      </w:pPr>
      <w:r>
        <w:t>5. Results</w:t>
      </w:r>
    </w:p>
    <w:p>
      <w:r>
        <w:t>BE03 retained 20,560 valid minute-observations after removing two embedded repeated header rows. The oracle occupancy policy reduced nominal on-time by 25.7% (95% block interval 18.0%–34.9%) while both policies had zero occupied false-off observations under the retained labels. The result was classified as small or uncertain because schedule choice strongly changed the estimate and deployment costs and sensor errors were unavailable.</w:t>
      </w:r>
    </w:p>
    <w:p>
      <w:r>
        <w:t>WK07 selected a fixed replacement age of 134 cycles on the training simulation. In the evaluation simulation, the fixed policy cost rate was 0.00746 and the oracle condition rate was 0.00496, yielding static regret 0.00250 normalized cost per cycle (95% interval 0.00229–0.00271) and relative regret 33.5%. This is a material oracle benchmark, not observed fleet savings.</w:t>
      </w:r>
    </w:p>
    <w:p>
      <w:r>
        <w:t>UI01 retained 725 complete days. With 1.0% of each hourly load available for bounded intraday reallocation, the technical procurement saving was EUR 0.072 per MWh of baseline load (95% block interval 0.068–0.076), equal to 0.19% of baseline procurement cost. The small estimate, fixed-price assumption, and absence of customer response support a small-or-uncertain classification.</w:t>
      </w:r>
    </w:p>
    <w:p>
      <w:r>
        <w:t>UI09 used 135 training and 135 evaluation weeks. The calendar application was 42.35 mm/week, compared with an adaptive mean of 43.11 mm/week. Normalized objective regret was 45.7% (95% block interval 41.5%–49.1%). The result remained positive across pre-specified loss weights, but it is a reference-crop and perfect-weather benchmark with omitted agronomic constraints.</w:t>
      </w:r>
    </w:p>
    <w:p>
      <w:r>
        <w:t>TR01 retained 18 evaluation days and produced a 27.2% reduction in a directional delay proxy (95% block interval 22.3%–31.0%). Because the data do not establish an intersection, incumbent timing plan, pedestrian constraints, queues, saturation flows, or safety outcomes, the case remained insufficient evidence. NC01 also remained unquantified. NC03 returned the exact positive repeated-halving ratio 1.414214 with numerically zero loss for that narrow objective.</w:t>
      </w:r>
    </w:p>
    <w:p>
      <w:r>
        <w:t>Figure 2 reports primary-case benchmarks on separate scales to prevent false comparability. Table 3 reports the corresponding classifications.</w:t>
      </w:r>
    </w:p>
    <w:p>
      <w:pPr>
        <w:jc w:val="center"/>
      </w:pPr>
      <w:r>
        <w:drawing>
          <wp:inline xmlns:a="http://schemas.openxmlformats.org/drawingml/2006/main" xmlns:pic="http://schemas.openxmlformats.org/drawingml/2006/picture">
            <wp:extent cx="5852160" cy="4212995"/>
            <wp:docPr id="2" name="Picture 2"/>
            <wp:cNvGraphicFramePr>
              <a:graphicFrameLocks noChangeAspect="1"/>
            </wp:cNvGraphicFramePr>
            <a:graphic>
              <a:graphicData uri="http://schemas.openxmlformats.org/drawingml/2006/picture">
                <pic:pic>
                  <pic:nvPicPr>
                    <pic:cNvPr id="0" name="Figure_2_primary_case_benchmarks.png"/>
                    <pic:cNvPicPr/>
                  </pic:nvPicPr>
                  <pic:blipFill>
                    <a:blip r:embed="rId11"/>
                    <a:stretch>
                      <a:fillRect/>
                    </a:stretch>
                  </pic:blipFill>
                  <pic:spPr>
                    <a:xfrm>
                      <a:off x="0" y="0"/>
                      <a:ext cx="5852160" cy="4212995"/>
                    </a:xfrm>
                    <a:prstGeom prst="rect"/>
                  </pic:spPr>
                </pic:pic>
              </a:graphicData>
            </a:graphic>
          </wp:inline>
        </w:drawing>
      </w:r>
    </w:p>
    <w:p>
      <w:pPr>
        <w:jc w:val="left"/>
      </w:pPr>
      <w:r>
        <w:rPr>
          <w:b/>
        </w:rPr>
        <w:t>Figure 2. Frozen primary-case technical benchmarks. Each panel uses a case-specific objective and scale; estimates are not pooled.</w:t>
      </w:r>
    </w:p>
    <w:p>
      <w:pPr>
        <w:jc w:val="left"/>
      </w:pPr>
      <w:r>
        <w:rPr>
          <w:b/>
        </w:rPr>
        <w:t>Table 3. Case-specific technical benchmark results.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rPr>
          <w:tblHeader/>
          <w:cantSplit/>
        </w:trPr>
        <w:tc>
          <w:tcPr>
            <w:tcW w:type="dxa" w:w="1872"/>
            <w:vAlign w:val="center"/>
            <w:shd w:fill="D9EAF7"/>
          </w:tcPr>
          <w:p>
            <w:pPr>
              <w:spacing w:after="0"/>
            </w:pPr>
            <w:r/>
            <w:r>
              <w:rPr>
                <w:rFonts w:ascii="Times New Roman" w:hAnsi="Times New Roman"/>
                <w:b/>
                <w:sz w:val="18"/>
              </w:rPr>
              <w:t>Case</w:t>
            </w:r>
          </w:p>
        </w:tc>
        <w:tc>
          <w:tcPr>
            <w:tcW w:type="dxa" w:w="1872"/>
            <w:vAlign w:val="center"/>
            <w:shd w:fill="D9EAF7"/>
          </w:tcPr>
          <w:p>
            <w:pPr>
              <w:spacing w:after="0"/>
            </w:pPr>
            <w:r/>
            <w:r>
              <w:rPr>
                <w:rFonts w:ascii="Times New Roman" w:hAnsi="Times New Roman"/>
                <w:b/>
                <w:sz w:val="18"/>
              </w:rPr>
              <w:t>Pre-specified metric</w:t>
            </w:r>
          </w:p>
        </w:tc>
        <w:tc>
          <w:tcPr>
            <w:tcW w:type="dxa" w:w="1872"/>
            <w:vAlign w:val="center"/>
            <w:shd w:fill="D9EAF7"/>
          </w:tcPr>
          <w:p>
            <w:pPr>
              <w:spacing w:after="0"/>
            </w:pPr>
            <w:r/>
            <w:r>
              <w:rPr>
                <w:rFonts w:ascii="Times New Roman" w:hAnsi="Times New Roman"/>
                <w:b/>
                <w:sz w:val="18"/>
              </w:rPr>
              <w:t>Estimate</w:t>
            </w:r>
          </w:p>
        </w:tc>
        <w:tc>
          <w:tcPr>
            <w:tcW w:type="dxa" w:w="1872"/>
            <w:vAlign w:val="center"/>
            <w:shd w:fill="D9EAF7"/>
          </w:tcPr>
          <w:p>
            <w:pPr>
              <w:spacing w:after="0"/>
            </w:pPr>
            <w:r/>
            <w:r>
              <w:rPr>
                <w:rFonts w:ascii="Times New Roman" w:hAnsi="Times New Roman"/>
                <w:b/>
                <w:sz w:val="18"/>
              </w:rPr>
              <w:t>95% interval</w:t>
            </w:r>
          </w:p>
        </w:tc>
        <w:tc>
          <w:tcPr>
            <w:tcW w:type="dxa" w:w="1872"/>
            <w:vAlign w:val="center"/>
            <w:shd w:fill="D9EAF7"/>
          </w:tcPr>
          <w:p>
            <w:pPr>
              <w:spacing w:after="0"/>
            </w:pPr>
            <w:r/>
            <w:r>
              <w:rPr>
                <w:rFonts w:ascii="Times New Roman" w:hAnsi="Times New Roman"/>
                <w:b/>
                <w:sz w:val="18"/>
              </w:rPr>
              <w:t>Classification</w:t>
            </w:r>
          </w:p>
        </w:tc>
      </w:tr>
      <w:tr>
        <w:trPr>
          <w:cantSplit/>
        </w:trPr>
        <w:tc>
          <w:tcPr>
            <w:tcW w:type="dxa" w:w="1872"/>
            <w:vAlign w:val="center"/>
          </w:tcPr>
          <w:p>
            <w:pPr>
              <w:spacing w:after="0"/>
            </w:pPr>
            <w:r/>
            <w:r>
              <w:rPr>
                <w:rFonts w:ascii="Times New Roman" w:hAnsi="Times New Roman"/>
                <w:b w:val="0"/>
                <w:sz w:val="18"/>
              </w:rPr>
              <w:t>BE03</w:t>
            </w:r>
          </w:p>
        </w:tc>
        <w:tc>
          <w:tcPr>
            <w:tcW w:type="dxa" w:w="1872"/>
            <w:vAlign w:val="center"/>
          </w:tcPr>
          <w:p>
            <w:pPr>
              <w:spacing w:after="0"/>
            </w:pPr>
            <w:r/>
            <w:r>
              <w:rPr>
                <w:rFonts w:ascii="Times New Roman" w:hAnsi="Times New Roman"/>
                <w:b w:val="0"/>
                <w:sz w:val="18"/>
              </w:rPr>
              <w:t>Nominal lighting-energy reduction</w:t>
            </w:r>
          </w:p>
        </w:tc>
        <w:tc>
          <w:tcPr>
            <w:tcW w:type="dxa" w:w="1872"/>
            <w:vAlign w:val="center"/>
          </w:tcPr>
          <w:p>
            <w:pPr>
              <w:spacing w:after="0"/>
            </w:pPr>
            <w:r/>
            <w:r>
              <w:rPr>
                <w:rFonts w:ascii="Times New Roman" w:hAnsi="Times New Roman"/>
                <w:b w:val="0"/>
                <w:sz w:val="18"/>
              </w:rPr>
              <w:t>25.7%</w:t>
            </w:r>
          </w:p>
        </w:tc>
        <w:tc>
          <w:tcPr>
            <w:tcW w:type="dxa" w:w="1872"/>
            <w:vAlign w:val="center"/>
          </w:tcPr>
          <w:p>
            <w:pPr>
              <w:spacing w:after="0"/>
            </w:pPr>
            <w:r/>
            <w:r>
              <w:rPr>
                <w:rFonts w:ascii="Times New Roman" w:hAnsi="Times New Roman"/>
                <w:b w:val="0"/>
                <w:sz w:val="18"/>
              </w:rPr>
              <w:t>18.0%–34.9%</w:t>
            </w:r>
          </w:p>
        </w:tc>
        <w:tc>
          <w:tcPr>
            <w:tcW w:type="dxa" w:w="1872"/>
            <w:vAlign w:val="center"/>
          </w:tcPr>
          <w:p>
            <w:pPr>
              <w:spacing w:after="0"/>
            </w:pPr>
            <w:r/>
            <w:r>
              <w:rPr>
                <w:rFonts w:ascii="Times New Roman" w:hAnsi="Times New Roman"/>
                <w:b w:val="0"/>
                <w:sz w:val="18"/>
              </w:rPr>
              <w:t>small or uncertain mismatch</w:t>
            </w:r>
          </w:p>
        </w:tc>
      </w:tr>
      <w:tr>
        <w:trPr>
          <w:cantSplit/>
        </w:trPr>
        <w:tc>
          <w:tcPr>
            <w:tcW w:type="dxa" w:w="1872"/>
            <w:vAlign w:val="center"/>
          </w:tcPr>
          <w:p>
            <w:pPr>
              <w:spacing w:after="0"/>
            </w:pPr>
            <w:r/>
            <w:r>
              <w:rPr>
                <w:rFonts w:ascii="Times New Roman" w:hAnsi="Times New Roman"/>
                <w:b w:val="0"/>
                <w:sz w:val="18"/>
              </w:rPr>
              <w:t>WK07</w:t>
            </w:r>
          </w:p>
        </w:tc>
        <w:tc>
          <w:tcPr>
            <w:tcW w:type="dxa" w:w="1872"/>
            <w:vAlign w:val="center"/>
          </w:tcPr>
          <w:p>
            <w:pPr>
              <w:spacing w:after="0"/>
            </w:pPr>
            <w:r/>
            <w:r>
              <w:rPr>
                <w:rFonts w:ascii="Times New Roman" w:hAnsi="Times New Roman"/>
                <w:b w:val="0"/>
                <w:sz w:val="18"/>
              </w:rPr>
              <w:t>Static regret, normalized cost/cycle</w:t>
            </w:r>
          </w:p>
        </w:tc>
        <w:tc>
          <w:tcPr>
            <w:tcW w:type="dxa" w:w="1872"/>
            <w:vAlign w:val="center"/>
          </w:tcPr>
          <w:p>
            <w:pPr>
              <w:spacing w:after="0"/>
            </w:pPr>
            <w:r/>
            <w:r>
              <w:rPr>
                <w:rFonts w:ascii="Times New Roman" w:hAnsi="Times New Roman"/>
                <w:b w:val="0"/>
                <w:sz w:val="18"/>
              </w:rPr>
              <w:t>0.00250</w:t>
            </w:r>
          </w:p>
        </w:tc>
        <w:tc>
          <w:tcPr>
            <w:tcW w:type="dxa" w:w="1872"/>
            <w:vAlign w:val="center"/>
          </w:tcPr>
          <w:p>
            <w:pPr>
              <w:spacing w:after="0"/>
            </w:pPr>
            <w:r/>
            <w:r>
              <w:rPr>
                <w:rFonts w:ascii="Times New Roman" w:hAnsi="Times New Roman"/>
                <w:b w:val="0"/>
                <w:sz w:val="18"/>
              </w:rPr>
              <w:t>0.00229–0.00271</w:t>
            </w:r>
          </w:p>
        </w:tc>
        <w:tc>
          <w:tcPr>
            <w:tcW w:type="dxa" w:w="1872"/>
            <w:vAlign w:val="center"/>
          </w:tcPr>
          <w:p>
            <w:pPr>
              <w:spacing w:after="0"/>
            </w:pPr>
            <w:r/>
            <w:r>
              <w:rPr>
                <w:rFonts w:ascii="Times New Roman" w:hAnsi="Times New Roman"/>
                <w:b w:val="0"/>
                <w:sz w:val="18"/>
              </w:rPr>
              <w:t>material mismatch under oracle benchmark</w:t>
            </w:r>
          </w:p>
        </w:tc>
      </w:tr>
      <w:tr>
        <w:trPr>
          <w:cantSplit/>
        </w:trPr>
        <w:tc>
          <w:tcPr>
            <w:tcW w:type="dxa" w:w="1872"/>
            <w:vAlign w:val="center"/>
          </w:tcPr>
          <w:p>
            <w:pPr>
              <w:spacing w:after="0"/>
            </w:pPr>
            <w:r/>
            <w:r>
              <w:rPr>
                <w:rFonts w:ascii="Times New Roman" w:hAnsi="Times New Roman"/>
                <w:b w:val="0"/>
                <w:sz w:val="18"/>
              </w:rPr>
              <w:t>UI01</w:t>
            </w:r>
          </w:p>
        </w:tc>
        <w:tc>
          <w:tcPr>
            <w:tcW w:type="dxa" w:w="1872"/>
            <w:vAlign w:val="center"/>
          </w:tcPr>
          <w:p>
            <w:pPr>
              <w:spacing w:after="0"/>
            </w:pPr>
            <w:r/>
            <w:r>
              <w:rPr>
                <w:rFonts w:ascii="Times New Roman" w:hAnsi="Times New Roman"/>
                <w:b w:val="0"/>
                <w:sz w:val="18"/>
              </w:rPr>
              <w:t>Procurement saving, EUR/MWh baseline</w:t>
            </w:r>
          </w:p>
        </w:tc>
        <w:tc>
          <w:tcPr>
            <w:tcW w:type="dxa" w:w="1872"/>
            <w:vAlign w:val="center"/>
          </w:tcPr>
          <w:p>
            <w:pPr>
              <w:spacing w:after="0"/>
            </w:pPr>
            <w:r/>
            <w:r>
              <w:rPr>
                <w:rFonts w:ascii="Times New Roman" w:hAnsi="Times New Roman"/>
                <w:b w:val="0"/>
                <w:sz w:val="18"/>
              </w:rPr>
              <w:t>0.072</w:t>
            </w:r>
          </w:p>
        </w:tc>
        <w:tc>
          <w:tcPr>
            <w:tcW w:type="dxa" w:w="1872"/>
            <w:vAlign w:val="center"/>
          </w:tcPr>
          <w:p>
            <w:pPr>
              <w:spacing w:after="0"/>
            </w:pPr>
            <w:r/>
            <w:r>
              <w:rPr>
                <w:rFonts w:ascii="Times New Roman" w:hAnsi="Times New Roman"/>
                <w:b w:val="0"/>
                <w:sz w:val="18"/>
              </w:rPr>
              <w:t>0.068–0.076</w:t>
            </w:r>
          </w:p>
        </w:tc>
        <w:tc>
          <w:tcPr>
            <w:tcW w:type="dxa" w:w="1872"/>
            <w:vAlign w:val="center"/>
          </w:tcPr>
          <w:p>
            <w:pPr>
              <w:spacing w:after="0"/>
            </w:pPr>
            <w:r/>
            <w:r>
              <w:rPr>
                <w:rFonts w:ascii="Times New Roman" w:hAnsi="Times New Roman"/>
                <w:b w:val="0"/>
                <w:sz w:val="18"/>
              </w:rPr>
              <w:t>small or uncertain mismatch</w:t>
            </w:r>
          </w:p>
        </w:tc>
      </w:tr>
      <w:tr>
        <w:trPr>
          <w:cantSplit/>
        </w:trPr>
        <w:tc>
          <w:tcPr>
            <w:tcW w:type="dxa" w:w="1872"/>
            <w:vAlign w:val="center"/>
          </w:tcPr>
          <w:p>
            <w:pPr>
              <w:spacing w:after="0"/>
            </w:pPr>
            <w:r/>
            <w:r>
              <w:rPr>
                <w:rFonts w:ascii="Times New Roman" w:hAnsi="Times New Roman"/>
                <w:b w:val="0"/>
                <w:sz w:val="18"/>
              </w:rPr>
              <w:t>UI09</w:t>
            </w:r>
          </w:p>
        </w:tc>
        <w:tc>
          <w:tcPr>
            <w:tcW w:type="dxa" w:w="1872"/>
            <w:vAlign w:val="center"/>
          </w:tcPr>
          <w:p>
            <w:pPr>
              <w:spacing w:after="0"/>
            </w:pPr>
            <w:r/>
            <w:r>
              <w:rPr>
                <w:rFonts w:ascii="Times New Roman" w:hAnsi="Times New Roman"/>
                <w:b w:val="0"/>
                <w:sz w:val="18"/>
              </w:rPr>
              <w:t>Normalized objective regret</w:t>
            </w:r>
          </w:p>
        </w:tc>
        <w:tc>
          <w:tcPr>
            <w:tcW w:type="dxa" w:w="1872"/>
            <w:vAlign w:val="center"/>
          </w:tcPr>
          <w:p>
            <w:pPr>
              <w:spacing w:after="0"/>
            </w:pPr>
            <w:r/>
            <w:r>
              <w:rPr>
                <w:rFonts w:ascii="Times New Roman" w:hAnsi="Times New Roman"/>
                <w:b w:val="0"/>
                <w:sz w:val="18"/>
              </w:rPr>
              <w:t>45.7%</w:t>
            </w:r>
          </w:p>
        </w:tc>
        <w:tc>
          <w:tcPr>
            <w:tcW w:type="dxa" w:w="1872"/>
            <w:vAlign w:val="center"/>
          </w:tcPr>
          <w:p>
            <w:pPr>
              <w:spacing w:after="0"/>
            </w:pPr>
            <w:r/>
            <w:r>
              <w:rPr>
                <w:rFonts w:ascii="Times New Roman" w:hAnsi="Times New Roman"/>
                <w:b w:val="0"/>
                <w:sz w:val="18"/>
              </w:rPr>
              <w:t>41.5%–49.1%</w:t>
            </w:r>
          </w:p>
        </w:tc>
        <w:tc>
          <w:tcPr>
            <w:tcW w:type="dxa" w:w="1872"/>
            <w:vAlign w:val="center"/>
          </w:tcPr>
          <w:p>
            <w:pPr>
              <w:spacing w:after="0"/>
            </w:pPr>
            <w:r/>
            <w:r>
              <w:rPr>
                <w:rFonts w:ascii="Times New Roman" w:hAnsi="Times New Roman"/>
                <w:b w:val="0"/>
                <w:sz w:val="18"/>
              </w:rPr>
              <w:t>material mismatch under oracle benchmark</w:t>
            </w:r>
          </w:p>
        </w:tc>
      </w:tr>
      <w:tr>
        <w:trPr>
          <w:cantSplit/>
        </w:trPr>
        <w:tc>
          <w:tcPr>
            <w:tcW w:type="dxa" w:w="1872"/>
            <w:vAlign w:val="center"/>
          </w:tcPr>
          <w:p>
            <w:pPr>
              <w:spacing w:after="0"/>
            </w:pPr>
            <w:r/>
            <w:r>
              <w:rPr>
                <w:rFonts w:ascii="Times New Roman" w:hAnsi="Times New Roman"/>
                <w:b w:val="0"/>
                <w:sz w:val="18"/>
              </w:rPr>
              <w:t>TR01</w:t>
            </w:r>
          </w:p>
        </w:tc>
        <w:tc>
          <w:tcPr>
            <w:tcW w:type="dxa" w:w="1872"/>
            <w:vAlign w:val="center"/>
          </w:tcPr>
          <w:p>
            <w:pPr>
              <w:spacing w:after="0"/>
            </w:pPr>
            <w:r/>
            <w:r>
              <w:rPr>
                <w:rFonts w:ascii="Times New Roman" w:hAnsi="Times New Roman"/>
                <w:b w:val="0"/>
                <w:sz w:val="18"/>
              </w:rPr>
              <w:t>Delay-proxy reduction</w:t>
            </w:r>
          </w:p>
        </w:tc>
        <w:tc>
          <w:tcPr>
            <w:tcW w:type="dxa" w:w="1872"/>
            <w:vAlign w:val="center"/>
          </w:tcPr>
          <w:p>
            <w:pPr>
              <w:spacing w:after="0"/>
            </w:pPr>
            <w:r/>
            <w:r>
              <w:rPr>
                <w:rFonts w:ascii="Times New Roman" w:hAnsi="Times New Roman"/>
                <w:b w:val="0"/>
                <w:sz w:val="18"/>
              </w:rPr>
              <w:t>27.2%</w:t>
            </w:r>
          </w:p>
        </w:tc>
        <w:tc>
          <w:tcPr>
            <w:tcW w:type="dxa" w:w="1872"/>
            <w:vAlign w:val="center"/>
          </w:tcPr>
          <w:p>
            <w:pPr>
              <w:spacing w:after="0"/>
            </w:pPr>
            <w:r/>
            <w:r>
              <w:rPr>
                <w:rFonts w:ascii="Times New Roman" w:hAnsi="Times New Roman"/>
                <w:b w:val="0"/>
                <w:sz w:val="18"/>
              </w:rPr>
              <w:t>22.3%–31.0%</w:t>
            </w:r>
          </w:p>
        </w:tc>
        <w:tc>
          <w:tcPr>
            <w:tcW w:type="dxa" w:w="1872"/>
            <w:vAlign w:val="center"/>
          </w:tcPr>
          <w:p>
            <w:pPr>
              <w:spacing w:after="0"/>
            </w:pPr>
            <w:r/>
            <w:r>
              <w:rPr>
                <w:rFonts w:ascii="Times New Roman" w:hAnsi="Times New Roman"/>
                <w:b w:val="0"/>
                <w:sz w:val="18"/>
              </w:rPr>
              <w:t>insufficient evidence</w:t>
            </w:r>
          </w:p>
        </w:tc>
      </w:tr>
      <w:tr>
        <w:trPr>
          <w:cantSplit/>
        </w:trPr>
        <w:tc>
          <w:tcPr>
            <w:tcW w:type="dxa" w:w="1872"/>
            <w:vAlign w:val="center"/>
          </w:tcPr>
          <w:p>
            <w:pPr>
              <w:spacing w:after="0"/>
            </w:pPr>
            <w:r/>
            <w:r>
              <w:rPr>
                <w:rFonts w:ascii="Times New Roman" w:hAnsi="Times New Roman"/>
                <w:b w:val="0"/>
                <w:sz w:val="18"/>
              </w:rPr>
              <w:t>NC01</w:t>
            </w:r>
          </w:p>
        </w:tc>
        <w:tc>
          <w:tcPr>
            <w:tcW w:type="dxa" w:w="1872"/>
            <w:vAlign w:val="center"/>
          </w:tcPr>
          <w:p>
            <w:pPr>
              <w:spacing w:after="0"/>
            </w:pPr>
            <w:r/>
            <w:r>
              <w:rPr>
                <w:rFonts w:ascii="Times New Roman" w:hAnsi="Times New Roman"/>
                <w:b w:val="0"/>
                <w:sz w:val="18"/>
              </w:rPr>
              <w:t>Static/transition regret</w:t>
            </w:r>
          </w:p>
        </w:tc>
        <w:tc>
          <w:tcPr>
            <w:tcW w:type="dxa" w:w="1872"/>
            <w:vAlign w:val="center"/>
          </w:tcPr>
          <w:p>
            <w:pPr>
              <w:spacing w:after="0"/>
            </w:pPr>
            <w:r/>
            <w:r>
              <w:rPr>
                <w:rFonts w:ascii="Times New Roman" w:hAnsi="Times New Roman"/>
                <w:b w:val="0"/>
                <w:sz w:val="18"/>
              </w:rPr>
              <w:t>Not estimated</w:t>
            </w:r>
          </w:p>
        </w:tc>
        <w:tc>
          <w:tcPr>
            <w:tcW w:type="dxa" w:w="1872"/>
            <w:vAlign w:val="center"/>
          </w:tcPr>
          <w:p>
            <w:pPr>
              <w:spacing w:after="0"/>
            </w:pPr>
            <w:r/>
            <w:r>
              <w:rPr>
                <w:rFonts w:ascii="Times New Roman" w:hAnsi="Times New Roman"/>
                <w:b w:val="0"/>
                <w:sz w:val="18"/>
              </w:rPr>
              <w:t>Not estimated</w:t>
            </w:r>
          </w:p>
        </w:tc>
        <w:tc>
          <w:tcPr>
            <w:tcW w:type="dxa" w:w="1872"/>
            <w:vAlign w:val="center"/>
          </w:tcPr>
          <w:p>
            <w:pPr>
              <w:spacing w:after="0"/>
            </w:pPr>
            <w:r/>
            <w:r>
              <w:rPr>
                <w:rFonts w:ascii="Times New Roman" w:hAnsi="Times New Roman"/>
                <w:b w:val="0"/>
                <w:sz w:val="18"/>
              </w:rPr>
              <w:t>insufficient evidence</w:t>
            </w:r>
          </w:p>
        </w:tc>
      </w:tr>
      <w:tr>
        <w:trPr>
          <w:cantSplit/>
        </w:trPr>
        <w:tc>
          <w:tcPr>
            <w:tcW w:type="dxa" w:w="1872"/>
            <w:vAlign w:val="center"/>
          </w:tcPr>
          <w:p>
            <w:pPr>
              <w:spacing w:after="0"/>
            </w:pPr>
            <w:r/>
            <w:r>
              <w:rPr>
                <w:rFonts w:ascii="Times New Roman" w:hAnsi="Times New Roman"/>
                <w:b w:val="0"/>
                <w:sz w:val="18"/>
              </w:rPr>
              <w:t>NC03</w:t>
            </w:r>
          </w:p>
        </w:tc>
        <w:tc>
          <w:tcPr>
            <w:tcW w:type="dxa" w:w="1872"/>
            <w:vAlign w:val="center"/>
          </w:tcPr>
          <w:p>
            <w:pPr>
              <w:spacing w:after="0"/>
            </w:pPr>
            <w:r/>
            <w:r>
              <w:rPr>
                <w:rFonts w:ascii="Times New Roman" w:hAnsi="Times New Roman"/>
                <w:b w:val="0"/>
                <w:sz w:val="18"/>
              </w:rPr>
              <w:t>Repeated-halving loss</w:t>
            </w:r>
          </w:p>
        </w:tc>
        <w:tc>
          <w:tcPr>
            <w:tcW w:type="dxa" w:w="1872"/>
            <w:vAlign w:val="center"/>
          </w:tcPr>
          <w:p>
            <w:pPr>
              <w:spacing w:after="0"/>
            </w:pPr>
            <w:r/>
            <w:r>
              <w:rPr>
                <w:rFonts w:ascii="Times New Roman" w:hAnsi="Times New Roman"/>
                <w:b w:val="0"/>
                <w:sz w:val="18"/>
              </w:rPr>
              <w:t>4.930e-32</w:t>
            </w:r>
          </w:p>
        </w:tc>
        <w:tc>
          <w:tcPr>
            <w:tcW w:type="dxa" w:w="1872"/>
            <w:vAlign w:val="center"/>
          </w:tcPr>
          <w:p>
            <w:pPr>
              <w:spacing w:after="0"/>
            </w:pPr>
            <w:r/>
            <w:r>
              <w:rPr>
                <w:rFonts w:ascii="Times New Roman" w:hAnsi="Times New Roman"/>
                <w:b w:val="0"/>
                <w:sz w:val="18"/>
              </w:rPr>
              <w:t>Exact analytic result</w:t>
            </w:r>
          </w:p>
        </w:tc>
        <w:tc>
          <w:tcPr>
            <w:tcW w:type="dxa" w:w="1872"/>
            <w:vAlign w:val="center"/>
          </w:tcPr>
          <w:p>
            <w:pPr>
              <w:spacing w:after="0"/>
            </w:pPr>
            <w:r/>
            <w:r>
              <w:rPr>
                <w:rFonts w:ascii="Times New Roman" w:hAnsi="Times New Roman"/>
                <w:b w:val="0"/>
                <w:sz w:val="18"/>
              </w:rPr>
              <w:t>no mismatch for repeated halving objective</w:t>
            </w:r>
          </w:p>
        </w:tc>
      </w:tr>
    </w:tbl>
    <w:p/>
    <w:p>
      <w:pPr>
        <w:pStyle w:val="Heading1"/>
      </w:pPr>
      <w:r>
        <w:t>6. Cross-case synthesis and falsification</w:t>
      </w:r>
    </w:p>
    <w:p>
      <w:r>
        <w:t>Two of 4 primary cases met the pre-specified material-oracle label, while the remaining primary cases were small or uncertain. That count is descriptive. Removing either material case reduced the count to one; excluding simulated C-MAPSS evidence also left one. The cross-case result therefore does not establish a stable population rate of mismatch.</w:t>
      </w:r>
    </w:p>
    <w:p>
      <w:r>
        <w:t>Figure 3 demonstrates why frozen null and insufficient-evidence cases matter. The outcomes span all intended categories rather than converging on a redesign narrative. The strongest evidence is conditional: inexpensive information and control can create measurable static regret under a specified objective, but transition-adjusted recommendations remain unidentified without implementation, network, safety, and coordination costs. Real-time foresight can improve preparedness in dynamic networks (Weber et al., 2015), but it cannot substitute for case-specific institutional evidence.</w:t>
      </w:r>
    </w:p>
    <w:p>
      <w:pPr>
        <w:jc w:val="center"/>
      </w:pPr>
      <w:r>
        <w:drawing>
          <wp:inline xmlns:a="http://schemas.openxmlformats.org/drawingml/2006/main" xmlns:pic="http://schemas.openxmlformats.org/drawingml/2006/picture">
            <wp:extent cx="5852160" cy="3164732"/>
            <wp:docPr id="3" name="Picture 3"/>
            <wp:cNvGraphicFramePr>
              <a:graphicFrameLocks noChangeAspect="1"/>
            </wp:cNvGraphicFramePr>
            <a:graphic>
              <a:graphicData uri="http://schemas.openxmlformats.org/drawingml/2006/picture">
                <pic:pic>
                  <pic:nvPicPr>
                    <pic:cNvPr id="0" name="Figure_3_case_classifications.png"/>
                    <pic:cNvPicPr/>
                  </pic:nvPicPr>
                  <pic:blipFill>
                    <a:blip r:embed="rId12"/>
                    <a:stretch>
                      <a:fillRect/>
                    </a:stretch>
                  </pic:blipFill>
                  <pic:spPr>
                    <a:xfrm>
                      <a:off x="0" y="0"/>
                      <a:ext cx="5852160" cy="3164732"/>
                    </a:xfrm>
                    <a:prstGeom prst="rect"/>
                  </pic:spPr>
                </pic:pic>
              </a:graphicData>
            </a:graphic>
          </wp:inline>
        </w:drawing>
      </w:r>
    </w:p>
    <w:p>
      <w:pPr>
        <w:jc w:val="left"/>
      </w:pPr>
      <w:r>
        <w:rPr>
          <w:b/>
        </w:rPr>
        <w:t>Figure 3. Classifications of all pre-specified frozen cases. Categories are decision labels, not hypothesis-test outcomes.</w:t>
      </w:r>
    </w:p>
    <w:p>
      <w:pPr>
        <w:jc w:val="left"/>
      </w:pPr>
      <w:r>
        <w:rPr>
          <w:b/>
        </w:rPr>
        <w:t>Table 4. Cross-case falsification and source-quality checks.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cantSplit/>
        </w:trPr>
        <w:tc>
          <w:tcPr>
            <w:tcW w:type="dxa" w:w="1560"/>
            <w:vAlign w:val="center"/>
            <w:shd w:fill="D9EAF7"/>
          </w:tcPr>
          <w:p>
            <w:pPr>
              <w:spacing w:after="0"/>
            </w:pPr>
            <w:r/>
            <w:r>
              <w:rPr>
                <w:rFonts w:ascii="Times New Roman" w:hAnsi="Times New Roman"/>
                <w:b/>
                <w:sz w:val="18"/>
              </w:rPr>
              <w:t>Test</w:t>
            </w:r>
          </w:p>
        </w:tc>
        <w:tc>
          <w:tcPr>
            <w:tcW w:type="dxa" w:w="1560"/>
            <w:vAlign w:val="center"/>
            <w:shd w:fill="D9EAF7"/>
          </w:tcPr>
          <w:p>
            <w:pPr>
              <w:spacing w:after="0"/>
            </w:pPr>
            <w:r/>
            <w:r>
              <w:rPr>
                <w:rFonts w:ascii="Times New Roman" w:hAnsi="Times New Roman"/>
                <w:b/>
                <w:sz w:val="18"/>
              </w:rPr>
              <w:t>Omitted case</w:t>
            </w:r>
          </w:p>
        </w:tc>
        <w:tc>
          <w:tcPr>
            <w:tcW w:type="dxa" w:w="1560"/>
            <w:vAlign w:val="center"/>
            <w:shd w:fill="D9EAF7"/>
          </w:tcPr>
          <w:p>
            <w:pPr>
              <w:spacing w:after="0"/>
            </w:pPr>
            <w:r/>
            <w:r>
              <w:rPr>
                <w:rFonts w:ascii="Times New Roman" w:hAnsi="Times New Roman"/>
                <w:b/>
                <w:sz w:val="18"/>
              </w:rPr>
              <w:t>Primary retained</w:t>
            </w:r>
          </w:p>
        </w:tc>
        <w:tc>
          <w:tcPr>
            <w:tcW w:type="dxa" w:w="1560"/>
            <w:vAlign w:val="center"/>
            <w:shd w:fill="D9EAF7"/>
          </w:tcPr>
          <w:p>
            <w:pPr>
              <w:spacing w:after="0"/>
            </w:pPr>
            <w:r/>
            <w:r>
              <w:rPr>
                <w:rFonts w:ascii="Times New Roman" w:hAnsi="Times New Roman"/>
                <w:b/>
                <w:sz w:val="18"/>
              </w:rPr>
              <w:t>Material oracle</w:t>
            </w:r>
          </w:p>
        </w:tc>
        <w:tc>
          <w:tcPr>
            <w:tcW w:type="dxa" w:w="1560"/>
            <w:vAlign w:val="center"/>
            <w:shd w:fill="D9EAF7"/>
          </w:tcPr>
          <w:p>
            <w:pPr>
              <w:spacing w:after="0"/>
            </w:pPr>
            <w:r/>
            <w:r>
              <w:rPr>
                <w:rFonts w:ascii="Times New Roman" w:hAnsi="Times New Roman"/>
                <w:b/>
                <w:sz w:val="18"/>
              </w:rPr>
              <w:t>Uncertain/insufficient</w:t>
            </w:r>
          </w:p>
        </w:tc>
        <w:tc>
          <w:tcPr>
            <w:tcW w:type="dxa" w:w="1560"/>
            <w:vAlign w:val="center"/>
            <w:shd w:fill="D9EAF7"/>
          </w:tcPr>
          <w:p>
            <w:pPr>
              <w:spacing w:after="0"/>
            </w:pPr>
            <w:r/>
            <w:r>
              <w:rPr>
                <w:rFonts w:ascii="Times New Roman" w:hAnsi="Times New Roman"/>
                <w:b/>
                <w:sz w:val="18"/>
              </w:rPr>
              <w:t>Interpretation</w:t>
            </w:r>
          </w:p>
        </w:tc>
      </w:tr>
      <w:tr>
        <w:trPr>
          <w:cantSplit/>
        </w:trPr>
        <w:tc>
          <w:tcPr>
            <w:tcW w:type="dxa" w:w="1560"/>
            <w:vAlign w:val="center"/>
          </w:tcPr>
          <w:p>
            <w:pPr>
              <w:spacing w:after="0"/>
            </w:pPr>
            <w:r/>
            <w:r>
              <w:rPr>
                <w:rFonts w:ascii="Times New Roman" w:hAnsi="Times New Roman"/>
                <w:b w:val="0"/>
                <w:sz w:val="18"/>
              </w:rPr>
              <w:t>baseline primary classification count</w:t>
            </w:r>
          </w:p>
        </w:tc>
        <w:tc>
          <w:tcPr>
            <w:tcW w:type="dxa" w:w="1560"/>
            <w:vAlign w:val="center"/>
          </w:tcPr>
          <w:p>
            <w:pPr>
              <w:spacing w:after="0"/>
            </w:pPr>
            <w:r/>
            <w:r>
              <w:rPr>
                <w:rFonts w:ascii="Times New Roman" w:hAnsi="Times New Roman"/>
                <w:b w:val="0"/>
                <w:sz w:val="18"/>
              </w:rPr>
            </w:r>
          </w:p>
        </w:tc>
        <w:tc>
          <w:tcPr>
            <w:tcW w:type="dxa" w:w="1560"/>
            <w:vAlign w:val="center"/>
          </w:tcPr>
          <w:p>
            <w:pPr>
              <w:spacing w:after="0"/>
            </w:pPr>
            <w:r/>
            <w:r>
              <w:rPr>
                <w:rFonts w:ascii="Times New Roman" w:hAnsi="Times New Roman"/>
                <w:b w:val="0"/>
                <w:sz w:val="18"/>
              </w:rPr>
              <w:t>4</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Classification count only; incomparable case outcomes are not pooled into a universal effect size.</w:t>
            </w:r>
          </w:p>
        </w:tc>
      </w:tr>
      <w:tr>
        <w:trPr>
          <w:cantSplit/>
        </w:trPr>
        <w:tc>
          <w:tcPr>
            <w:tcW w:type="dxa" w:w="1560"/>
            <w:vAlign w:val="center"/>
          </w:tcPr>
          <w:p>
            <w:pPr>
              <w:spacing w:after="0"/>
            </w:pPr>
            <w:r/>
            <w:r>
              <w:rPr>
                <w:rFonts w:ascii="Times New Roman" w:hAnsi="Times New Roman"/>
                <w:b w:val="0"/>
                <w:sz w:val="18"/>
              </w:rPr>
              <w:t>leave one case and domain out</w:t>
            </w:r>
          </w:p>
        </w:tc>
        <w:tc>
          <w:tcPr>
            <w:tcW w:type="dxa" w:w="1560"/>
            <w:vAlign w:val="center"/>
          </w:tcPr>
          <w:p>
            <w:pPr>
              <w:spacing w:after="0"/>
            </w:pPr>
            <w:r/>
            <w:r>
              <w:rPr>
                <w:rFonts w:ascii="Times New Roman" w:hAnsi="Times New Roman"/>
                <w:b w:val="0"/>
                <w:sz w:val="18"/>
              </w:rPr>
              <w:t>BE03</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No leave-one-out result licenses a population causal claim; the frozen cases are a designed audit set.</w:t>
            </w:r>
          </w:p>
        </w:tc>
      </w:tr>
      <w:tr>
        <w:trPr>
          <w:cantSplit/>
        </w:trPr>
        <w:tc>
          <w:tcPr>
            <w:tcW w:type="dxa" w:w="1560"/>
            <w:vAlign w:val="center"/>
          </w:tcPr>
          <w:p>
            <w:pPr>
              <w:spacing w:after="0"/>
            </w:pPr>
            <w:r/>
            <w:r>
              <w:rPr>
                <w:rFonts w:ascii="Times New Roman" w:hAnsi="Times New Roman"/>
                <w:b w:val="0"/>
                <w:sz w:val="18"/>
              </w:rPr>
              <w:t>leave one case and domain out</w:t>
            </w:r>
          </w:p>
        </w:tc>
        <w:tc>
          <w:tcPr>
            <w:tcW w:type="dxa" w:w="1560"/>
            <w:vAlign w:val="center"/>
          </w:tcPr>
          <w:p>
            <w:pPr>
              <w:spacing w:after="0"/>
            </w:pPr>
            <w:r/>
            <w:r>
              <w:rPr>
                <w:rFonts w:ascii="Times New Roman" w:hAnsi="Times New Roman"/>
                <w:b w:val="0"/>
                <w:sz w:val="18"/>
              </w:rPr>
              <w:t>WK07</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No leave-one-out result licenses a population causal claim; the frozen cases are a designed audit set.</w:t>
            </w:r>
          </w:p>
        </w:tc>
      </w:tr>
      <w:tr>
        <w:trPr>
          <w:cantSplit/>
        </w:trPr>
        <w:tc>
          <w:tcPr>
            <w:tcW w:type="dxa" w:w="1560"/>
            <w:vAlign w:val="center"/>
          </w:tcPr>
          <w:p>
            <w:pPr>
              <w:spacing w:after="0"/>
            </w:pPr>
            <w:r/>
            <w:r>
              <w:rPr>
                <w:rFonts w:ascii="Times New Roman" w:hAnsi="Times New Roman"/>
                <w:b w:val="0"/>
                <w:sz w:val="18"/>
              </w:rPr>
              <w:t>leave one case and domain out</w:t>
            </w:r>
          </w:p>
        </w:tc>
        <w:tc>
          <w:tcPr>
            <w:tcW w:type="dxa" w:w="1560"/>
            <w:vAlign w:val="center"/>
          </w:tcPr>
          <w:p>
            <w:pPr>
              <w:spacing w:after="0"/>
            </w:pPr>
            <w:r/>
            <w:r>
              <w:rPr>
                <w:rFonts w:ascii="Times New Roman" w:hAnsi="Times New Roman"/>
                <w:b w:val="0"/>
                <w:sz w:val="18"/>
              </w:rPr>
              <w:t>UI01</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No leave-one-out result licenses a population causal claim; the frozen cases are a designed audit set.</w:t>
            </w:r>
          </w:p>
        </w:tc>
      </w:tr>
      <w:tr>
        <w:trPr>
          <w:cantSplit/>
        </w:trPr>
        <w:tc>
          <w:tcPr>
            <w:tcW w:type="dxa" w:w="1560"/>
            <w:vAlign w:val="center"/>
          </w:tcPr>
          <w:p>
            <w:pPr>
              <w:spacing w:after="0"/>
            </w:pPr>
            <w:r/>
            <w:r>
              <w:rPr>
                <w:rFonts w:ascii="Times New Roman" w:hAnsi="Times New Roman"/>
                <w:b w:val="0"/>
                <w:sz w:val="18"/>
              </w:rPr>
              <w:t>leave one case and domain out</w:t>
            </w:r>
          </w:p>
        </w:tc>
        <w:tc>
          <w:tcPr>
            <w:tcW w:type="dxa" w:w="1560"/>
            <w:vAlign w:val="center"/>
          </w:tcPr>
          <w:p>
            <w:pPr>
              <w:spacing w:after="0"/>
            </w:pPr>
            <w:r/>
            <w:r>
              <w:rPr>
                <w:rFonts w:ascii="Times New Roman" w:hAnsi="Times New Roman"/>
                <w:b w:val="0"/>
                <w:sz w:val="18"/>
              </w:rPr>
              <w:t>UI09</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No leave-one-out result licenses a population causal claim; the frozen cases are a designed audit set.</w:t>
            </w:r>
          </w:p>
        </w:tc>
      </w:tr>
      <w:tr>
        <w:trPr>
          <w:cantSplit/>
        </w:trPr>
        <w:tc>
          <w:tcPr>
            <w:tcW w:type="dxa" w:w="1560"/>
            <w:vAlign w:val="center"/>
          </w:tcPr>
          <w:p>
            <w:pPr>
              <w:spacing w:after="0"/>
            </w:pPr>
            <w:r/>
            <w:r>
              <w:rPr>
                <w:rFonts w:ascii="Times New Roman" w:hAnsi="Times New Roman"/>
                <w:b w:val="0"/>
                <w:sz w:val="18"/>
              </w:rPr>
              <w:t>exclude simulated case</w:t>
            </w:r>
          </w:p>
        </w:tc>
        <w:tc>
          <w:tcPr>
            <w:tcW w:type="dxa" w:w="1560"/>
            <w:vAlign w:val="center"/>
          </w:tcPr>
          <w:p>
            <w:pPr>
              <w:spacing w:after="0"/>
            </w:pPr>
            <w:r/>
            <w:r>
              <w:rPr>
                <w:rFonts w:ascii="Times New Roman" w:hAnsi="Times New Roman"/>
                <w:b w:val="0"/>
                <w:sz w:val="18"/>
              </w:rPr>
              <w:t>WK07</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Source-quality sensitivity excluding C-MAPSS simulation.</w:t>
            </w:r>
          </w:p>
        </w:tc>
      </w:tr>
      <w:tr>
        <w:trPr>
          <w:cantSplit/>
        </w:trPr>
        <w:tc>
          <w:tcPr>
            <w:tcW w:type="dxa" w:w="1560"/>
            <w:vAlign w:val="center"/>
          </w:tcPr>
          <w:p>
            <w:pPr>
              <w:spacing w:after="0"/>
            </w:pPr>
            <w:r/>
            <w:r>
              <w:rPr>
                <w:rFonts w:ascii="Times New Roman" w:hAnsi="Times New Roman"/>
                <w:b w:val="0"/>
                <w:sz w:val="18"/>
              </w:rPr>
              <w:t>negative controls</w:t>
            </w:r>
          </w:p>
        </w:tc>
        <w:tc>
          <w:tcPr>
            <w:tcW w:type="dxa" w:w="1560"/>
            <w:vAlign w:val="center"/>
          </w:tcPr>
          <w:p>
            <w:pPr>
              <w:spacing w:after="0"/>
            </w:pPr>
            <w:r/>
            <w:r>
              <w:rPr>
                <w:rFonts w:ascii="Times New Roman" w:hAnsi="Times New Roman"/>
                <w:b w:val="0"/>
                <w:sz w:val="18"/>
              </w:rPr>
            </w:r>
          </w:p>
        </w:tc>
        <w:tc>
          <w:tcPr>
            <w:tcW w:type="dxa" w:w="1560"/>
            <w:vAlign w:val="center"/>
          </w:tcPr>
          <w:p>
            <w:pPr>
              <w:spacing w:after="0"/>
            </w:pPr>
            <w:r/>
            <w:r>
              <w:rPr>
                <w:rFonts w:ascii="Times New Roman" w:hAnsi="Times New Roman"/>
                <w:b w:val="0"/>
                <w:sz w:val="18"/>
              </w:rPr>
              <w:t>4</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NC03 returns the pre-specified analytic null; NC01 remains unquantified because transition-cost evidence is absent.</w:t>
            </w:r>
          </w:p>
        </w:tc>
      </w:tr>
    </w:tbl>
    <w:p/>
    <w:p>
      <w:pPr>
        <w:pStyle w:val="Heading1"/>
      </w:pPr>
      <w:r>
        <w:t>7. Discussion</w:t>
      </w:r>
    </w:p>
    <w:p>
      <w:r>
        <w:t>The main contribution is procedural. A standard should be audited as the output of a decision problem, not as an old object. The procedure begins by specifying the historical objective and constraints, identifies which constraints a technology plausibly changed, estimates a current technical counterfactual, and then asks whether transition costs reverse the ranking. This ordering prevents two symmetric errors: celebrating persistence as evidence of efficiency and treating positive static regret as sufficient evidence for redesign.</w:t>
      </w:r>
    </w:p>
    <w:p>
      <w:r>
        <w:t>The cases illustrate three technology mechanisms. Occupancy detection and weather data reduce the cost of sensing current state. Prognostics and interval metering reduce the cost of computing and communicating condition-dependent actions. Responsive control changes the feasible frequency of adjustment. Yet the same cases show why technological capability is not welfare evidence. Sensor errors, response costs, market equilibrium, crop biology, safety, and installed-base compatibility can dominate a frictionless gain.</w:t>
      </w:r>
    </w:p>
    <w:p>
      <w:r>
        <w:t>For technology governance, the implication is to institutionalize periodic audits rather than automatic sunset rules. The audit trigger should be a measurable change in information, control, production, or coordination conditions. The output should be a transparent classification with an explicit evidence gap. Regulators and standards bodies can then commission the missing transition evidence before altering a coordinated system. Multi-mode standardization and participation research suggests that this process should include affected implementers and complementors rather than treat the technical counterfactual as dispositive (Wiegmann et al., 2017; Blind and von Laer, 2022).</w:t>
      </w:r>
    </w:p>
    <w:p>
      <w:r>
        <w:t>The empirical results also discipline the novelty claim. Existing research already explains lock-in, standards battles, transition governance, digital innovation, and switching behavior. The added value here is a reproducible protocol that freezes case selection, separates static from transition-adjusted regret, retains negative controls, and records when available data are insufficient. This methodological synthesis is narrower than a general theory but more falsifiable than a collection of historical examples.</w:t>
      </w:r>
    </w:p>
    <w:p>
      <w:pPr>
        <w:pStyle w:val="Heading1"/>
      </w:pPr>
      <w:r>
        <w:t>8. Limitations</w:t>
      </w:r>
    </w:p>
    <w:p>
      <w:r>
        <w:t>First, the analyses do not fully reconstruct the historical optimum for every case. They are frozen demonstrations of the current-audit stages. Second, four comparators are oracle or proxy bounds; none identifies a realized causal deployment effect. Third, transition-adjusted regret is not numerically estimated because compatible implementation-cost data are absent. Fourth, the case set is purposive and heterogeneous, so neither the frequency nor magnitude of mismatch generalizes to legacy standards as a population. Fifth, uncertainty intervals quantify sampling variation under the retained model but do not capture all structural uncertainty. Sixth, the largest normalized result, UI09, depends on a normative shortfall penalty and omits crop and soil processes.</w:t>
      </w:r>
    </w:p>
    <w:p>
      <w:r>
        <w:t>Future work should prospectively apply the audit to a second frozen set, acquire case-specific switching and implementation costs, and validate technical comparators against deployed controls. A particularly valuable extension would estimate one full transition-adjusted case from incumbent reconstruction through realized implementation.</w:t>
      </w:r>
    </w:p>
    <w:p>
      <w:pPr>
        <w:pStyle w:val="Heading1"/>
      </w:pPr>
      <w:r>
        <w:t>9. Conclusion</w:t>
      </w:r>
    </w:p>
    <w:p>
      <w:r>
        <w:t>Technological change can make a fixed standard reassessable without making it obsolete. The Legacy Standard Audit converts that distinction into a pre-specified workflow: reconstruct the decision problem, identify the changed technology constraint, estimate static regret, incorporate transition costs, and retain null or insufficient-evidence outcomes. In the frozen demonstrations, some oracle technical benchmarks were material, others were small, one analytic standard remained exactly aligned with its narrow objective, and a high-network compatibility case could not be quantified. The defensible conclusion is not that inherited standards should be replaced. It is that standards governance should make re-audit reproducible, conditional, and explicit about the evidence still required for change.</w:t>
      </w:r>
    </w:p>
    <w:p>
      <w:pPr>
        <w:pStyle w:val="Heading1"/>
      </w:pPr>
      <w:r>
        <w:t>Data and code availability</w:t>
      </w:r>
    </w:p>
    <w:p>
      <w:r>
        <w:t>All analysis code, frozen selection records, source registry, checksums, and generated values are provided in the accompanying repository. Public raw data are retrieved from registered sources and retained as immutable local snapshots. Copyrighted ISO sample material is not redistributed; its provenance and local checksum are recorded. The one-command build regenerates analyses, figures, tables, manuscript files, supplement, and audits.</w:t>
      </w:r>
    </w:p>
    <w:p>
      <w:pPr>
        <w:pStyle w:val="Heading1"/>
      </w:pPr>
      <w:r>
        <w:t>Declaration of generative AI and AI-assisted technologies</w:t>
      </w:r>
    </w:p>
    <w:p>
      <w:r>
        <w:t>During preparation, the authors used Devin, an AI software-engineering assistant built by Cognition AI, to support code generation, document assembly, and consistency checks. Human authors are responsible for source verification, analysis choices, numerical results, interpretation, originality, and the final submitted text. The AI system is not an author.</w:t>
      </w:r>
    </w:p>
    <w:p>
      <w:pPr>
        <w:pStyle w:val="Heading1"/>
      </w:pPr>
      <w:r>
        <w:t>Declarations</w:t>
      </w:r>
    </w:p>
    <w:p>
      <w:r>
        <w:t>Funding: No project-specific funding statement supplied.</w:t>
      </w:r>
    </w:p>
    <w:p>
      <w:r>
        <w:t>Competing interests: No statement supplied; authors must confirm before submission.</w:t>
      </w:r>
    </w:p>
    <w:p>
      <w:r>
        <w:t>Ethics: The study uses public secondary data and simulations; no human participants were recruited.</w:t>
      </w:r>
    </w:p>
    <w:p>
      <w:pPr>
        <w:pStyle w:val="Heading1"/>
      </w:pPr>
      <w:r>
        <w:t>References</w:t>
      </w:r>
    </w:p>
    <w:p>
      <w:r>
        <w:t>Apinya Kamolsook, Yuosre F. Badir, Björn Frank (2019). Consumers' switching to disruptive technology products: The roles of comparative economic value and technology type. Technological Forecasting and Social Change. https://doi.org/10.1016/j.techfore.2018.12.023</w:t>
      </w:r>
    </w:p>
    <w:p>
      <w:r>
        <w:t>Christina Weber, Klaus Sailer, Bernhard Katzy (2015). Real-time foresight — Preparedness for dynamic networks. Technological Forecasting and Social Change. https://doi.org/10.1016/j.techfore.2015.05.016</w:t>
      </w:r>
    </w:p>
    <w:p>
      <w:r>
        <w:t>F.W. Geels (2005). Processes and patterns in transitions and system innovations: Refining the co-evolutionary multi-level perspective. Technological Forecasting and Social Change. https://doi.org/10.1016/j.techfore.2004.08.014</w:t>
      </w:r>
    </w:p>
    <w:p>
      <w:r>
        <w:t>Fernando F. Suarez (2004). Battles for technological dominance: an integrative framework. Research Policy. https://doi.org/10.1016/j.respol.2003.07.001</w:t>
      </w:r>
    </w:p>
    <w:p>
      <w:r>
        <w:t>Food and Agriculture Organization of the United Nations (2025). Crop evapotranspiration: Guidelines for computing crop water requirements, revised edition. FAO Irrigation and Drainage Paper 56 Rev.1.</w:t>
      </w:r>
    </w:p>
    <w:p>
      <w:r>
        <w:t>Frank W. Geels (2002). Technological transitions as evolutionary reconfiguration processes: a multi-level perspective and a case-study. Research Policy. https://doi.org/10.1016/s0048-7333(02)00062-8</w:t>
      </w:r>
    </w:p>
    <w:p>
      <w:r>
        <w:t>Frank W. Geels (2004). From sectoral systems of innovation to socio-technical systems. Research Policy. https://doi.org/10.1016/j.respol.2004.01.015</w:t>
      </w:r>
    </w:p>
    <w:p>
      <w:r>
        <w:t>Geerten van de Kaa, Marijn Janssen, Jafar Rezaei (2018). Standards battles for business-to-government data exchange: Identifying success factors for standard dominance using the Best Worst Method. Technological Forecasting and Social Change. https://doi.org/10.1016/j.techfore.2018.07.041</w:t>
      </w:r>
    </w:p>
    <w:p>
      <w:r>
        <w:t>Giovanni Dosi (1982). Technological paradigms and technological trajectories. Research Policy. https://doi.org/10.1016/0048-7333(82)90016-6</w:t>
      </w:r>
    </w:p>
    <w:p>
      <w:r>
        <w:t>Gregory C Unruh (2000). Understanding carbon lock-in. Energy Policy. https://doi.org/10.1016/s0301-4215(00)00070-7</w:t>
      </w:r>
    </w:p>
    <w:p>
      <w:r>
        <w:t>International Organization for Standardization (2007). ISO 216:2007 Writing paper and certain classes of printed matter—Trimmed sizes—A and B series, and indication of machine direction. https://www.iso.org/standard/36631.html</w:t>
      </w:r>
    </w:p>
    <w:p>
      <w:r>
        <w:t>International Organization for Standardization (2020). ISO 668:2020 Series 1 freight containers—Classification, dimensions and ratings. https://www.iso.org/standard/76912.html</w:t>
      </w:r>
    </w:p>
    <w:p>
      <w:r>
        <w:t>J.J. Bos, R.R. Brown (2012). Governance experimentation and factors of success in socio-technical transitions in the urban water sector. Technological Forecasting and Social Change. https://doi.org/10.1016/j.techfore.2012.04.006</w:t>
      </w:r>
    </w:p>
    <w:p>
      <w:r>
        <w:t>Jae-Yong Choung, Tahir Hameed, Illyong Ji (2012). Catch-up in ICT standards: Policy, implementation and standards-setting in South Korea. Technological Forecasting and Social Change. https://doi.org/10.1016/j.techfore.2011.10.007</w:t>
      </w:r>
    </w:p>
    <w:p>
      <w:r>
        <w:t>James G. March (1991). Exploration and Exploitation in Organizational Learning. Organization Science. https://doi.org/10.1287/orsc.2.1.71</w:t>
      </w:r>
    </w:p>
    <w:p>
      <w:r>
        <w:t>James M Utterback, William J Abernathy (1975). A dynamic model of process and product innovation. Omega. https://doi.org/10.1016/0305-0483(75)90068-7</w:t>
      </w:r>
    </w:p>
    <w:p>
      <w:r>
        <w:t>Joseph Farrell, Garth Saloner (1985). Standardization, Compatibility, and Innovation. The RAND Journal of Economics. https://doi.org/10.2307/2555589</w:t>
      </w:r>
    </w:p>
    <w:p>
      <w:r>
        <w:t>Knut Blind, Bastian Krieger, Maikel Pellens (2022). The interplay between product innovation, publishing, patenting and developing standards. Research Policy. https://doi.org/10.1016/j.respol.2022.104556</w:t>
      </w:r>
    </w:p>
    <w:p>
      <w:r>
        <w:t>Knut Blind, Martin Kenney, Aija Leiponen, Timothy Simcoe (2023). Standards and innovation: A review and introduction to the special issue. Research Policy. https://doi.org/10.1016/j.respol.2023.104830</w:t>
      </w:r>
    </w:p>
    <w:p>
      <w:r>
        <w:t>Knut Blind, Maximilian von Laer (2022). Paving the path: drivers of standardization participation at ISO. The Journal of Technology Transfer. https://doi.org/10.1007/s10961-021-09871-4</w:t>
      </w:r>
    </w:p>
    <w:p>
      <w:r>
        <w:t>Michael L. Tushman, Philip Anderson (1986). Technological Discontinuities and Organizational Environments. Administrative Science Quarterly. https://doi.org/10.2307/2392832</w:t>
      </w:r>
    </w:p>
    <w:p>
      <w:r>
        <w:t>National Aeronautics and Space Administration (n.d.). C-MAPSS turbofan engine degradation simulation data. https://data.nasa.gov/docs/legacy/CMAPSSData.zip</w:t>
      </w:r>
    </w:p>
    <w:p>
      <w:r>
        <w:t>National Aeronautics and Space Administration POWER Project (n.d.). Daily agricultural meteorology for Davis, California, 2015–2024. https://power.larc.nasa.gov/</w:t>
      </w:r>
    </w:p>
    <w:p>
      <w:r>
        <w:t>New York City Department of Transportation (n.d.). Traffic Volume Counts (Historical). https://data.cityofnewyork.us/d/btm5-ppia</w:t>
      </w:r>
    </w:p>
    <w:p>
      <w:r>
        <w:t>Open Power System Data (2020). Time series, 60-minute single-index data package, version 2020-10-06. https://data.open-power-system-data.org/time_series/2020-10-06/</w:t>
      </w:r>
    </w:p>
    <w:p>
      <w:r>
        <w:t>Paul Moritz Wiegmann, Henk J. de Vries, Knut Blind (2017). Multi-mode standardisation: A critical review and a research agenda. Research Policy. https://doi.org/10.1016/j.respol.2017.06.002</w:t>
      </w:r>
    </w:p>
    <w:p>
      <w:r>
        <w:t>Paul Pierson (2000). Increasing Returns, Path Dependence, and the Study of Politics. American Political Science Review. https://doi.org/10.2307/2586011</w:t>
      </w:r>
    </w:p>
    <w:p>
      <w:r>
        <w:t>Rebecca M. Henderson, Kim B. Clark (1990). Architectural Innovation: The Reconfiguration of Existing Product Technologies and the Failure of Established Firms. Administrative Science Quarterly. https://doi.org/10.2307/2393549</w:t>
      </w:r>
    </w:p>
    <w:p>
      <w:r>
        <w:t>Robert H Allen, Ram D Sriram (2000). The Role of Standards in Innovation. Technological Forecasting and Social Change. https://doi.org/10.1016/s0040-1625(99)00104-3</w:t>
      </w:r>
    </w:p>
    <w:p>
      <w:r>
        <w:t>Robin Cowan, Staffan Hultén (1996). Escaping lock-in: The case of the electric vehicle. Technological Forecasting and Social Change. https://doi.org/10.1016/0040-1625(96)00059-5</w:t>
      </w:r>
    </w:p>
    <w:p>
      <w:r>
        <w:t>Satish Nambisan, Kalle Lyytinen, Ann Majchrzak, Michael Song (2017). Digital Innovation Management: Reinventing Innovation Management Research in a Digital World. MIS Quarterly. https://doi.org/10.25300/misq/2017/41:1.03</w:t>
      </w:r>
    </w:p>
    <w:p>
      <w:r>
        <w:t>Stan J. Liebowitz, Stephen E. Margolis (1995). Path Dependence, Lock-In, and History. The Journal of Law, Economics, and Organization. https://doi.org/10.1093/oxfordjournals.jleo.a036867</w:t>
      </w:r>
    </w:p>
    <w:p>
      <w:r>
        <w:t>Stefan Timmermans, Steven Epstein (2010). A World of Standards but not a Standard World: Toward a Sociology of Standards and Standardization. Annual Review of Sociology. https://doi.org/10.1146/annurev.soc.012809.102629</w:t>
      </w:r>
    </w:p>
    <w:p>
      <w:r>
        <w:t>Torsten Heinrich (2014). Standard wars, tied standards, and network externality induced path dependence in the ICT sector. Technological Forecasting and Social Change. https://doi.org/10.1016/j.techfore.2013.04.015</w:t>
      </w:r>
    </w:p>
    <w:p>
      <w:r>
        <w:t>UCI Machine Learning Repository (2024). Occupancy Detection [Dataset]. https://doi.org/10.24432/C5X01N</w:t>
      </w:r>
    </w:p>
    <w:p>
      <w:r>
        <w:t>United States Federal Highway Administration (2008). Traffic Signal Timing Manual. FHWA-HOP-08-024.</w:t>
      </w:r>
    </w:p>
    <w:p>
      <w:r>
        <w:t>W. Brian Arthur (1989). Competing Technologies, Increasing Returns, and Lock-In by Historical Events. The Economic Journal. https://doi.org/10.2307/2234208</w:t>
      </w:r>
    </w:p>
    <w:p>
      <w:r>
        <w:t>Wanda J. Orlikowski (1992). The Duality of Technology: Rethinking the Concept of Technology in Organizations. Organization Science. https://doi.org/10.1287/orsc.3.3.398</w:t>
      </w:r>
    </w:p>
    <w:p>
      <w:r>
        <w:t>Wilfred Dolfsma, Loet Leydesdorff (2009). Lock-in and break-out from technological trajectories: Modeling and policy implications. Technological Forecasting and Social Change. https://doi.org/10.1016/j.techfore.2009.02.004</w:t>
      </w:r>
    </w:p>
    <w:p>
      <w:r>
        <w:t>William J. Abernathy, Kim B. Clark (1985). Innovation: Mapping the winds of creative destruction. Research Policy. https://doi.org/10.1016/0048-7333(85)90021-6</w:t>
      </w:r>
    </w:p>
    <w:p>
      <w:r>
        <w:t>Youngjin Yoo, Ola Henfridsson, Kalle Lyytinen (2010). The New Organizing Logic of Digital Innovation: An Agenda for Information Systems Research. Information Systems Research. https://doi.org/10.1287/isre.1100.0322</w:t>
      </w:r>
    </w:p>
    <w:sectPr w:rsidR="00FC693F" w:rsidRPr="0006063C" w:rsidSect="00034616">
      <w:footerReference w:type="default" r:id="rId9"/>
      <w:pgSz w:w="12240" w:h="15840"/>
      <w:pgMar w:top="1440" w:right="1440" w:bottom="1440"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