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Legacy standards as frozen solutions to obsolete optimization problems: a framework for technological change and adaptive re-optimization</w:t>
      </w:r>
    </w:p>
    <w:p/>
    <w:p>
      <w:r>
        <w:t>Article type: Full-length research article</w:t>
      </w:r>
    </w:p>
    <w:p>
      <w:r>
        <w:t>Authors: [To be supplied by the submitting author]</w:t>
      </w:r>
    </w:p>
    <w:p>
      <w:r>
        <w:t>Affiliations: [To be supplied]</w:t>
      </w:r>
    </w:p>
    <w:p>
      <w:r>
        <w:t>Corresponding author: [Name, postal address, and email to be supplied]</w:t>
      </w:r>
    </w:p>
    <w:p>
      <w:r>
        <w:t>Word count: generated manuscript; verify in final editorial check</w:t>
      </w:r>
    </w:p>
    <w:p>
      <w:r>
        <w:t>Tables: 4 main; 1 supplementary</w:t>
      </w:r>
    </w:p>
    <w:p>
      <w:r>
        <w:t>Figures: 3 main; 1 supplementary</w:t>
      </w:r>
    </w:p>
    <w:p>
      <w:r>
        <w:t>Author details are intentionally not inferred from repository or account metadata.</w:t>
      </w:r>
    </w:p>
    <w:sectPr w:rsidR="00FC693F" w:rsidRPr="0006063C" w:rsidSect="00034616">
      <w:pgSz w:w="12240" w:h="15840"/>
      <w:pgMar w:top="1440" w:right="1440" w:bottom="1440" w:left="144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