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Re-auditing legacy standards after technological change: a pre-specified protocol for static benchmarks and transition-evidence gates</w:t>
      </w:r>
    </w:p>
    <w:p/>
    <w:p>
      <w:r>
        <w:t>Article type: Full-length research article</w:t>
      </w:r>
    </w:p>
    <w:p>
      <w:r>
        <w:t>Authors: [To be supplied by the submitting author]</w:t>
      </w:r>
    </w:p>
    <w:p>
      <w:r>
        <w:t>Affiliations: [To be supplied]</w:t>
      </w:r>
    </w:p>
    <w:p>
      <w:r>
        <w:t>Corresponding author: [Name, postal address, and email to be supplied]</w:t>
      </w:r>
    </w:p>
    <w:p>
      <w:r>
        <w:t>Tables: 4</w:t>
      </w:r>
    </w:p>
    <w:p>
      <w:r>
        <w:t>Figures: 4</w:t>
      </w:r>
    </w:p>
    <w:p>
      <w:r>
        <w:t>Acknowledgements: [To be supplied or confirmed as none]</w:t>
      </w:r>
    </w:p>
    <w:p>
      <w:r>
        <w:t>Funding: [To be supplied or confirmed as none]</w:t>
      </w:r>
    </w:p>
    <w:p>
      <w:r>
        <w:t>Competing interests: [To be supplied from Elsevier's declarations tool]</w:t>
      </w:r>
    </w:p>
    <w:p>
      <w:r>
        <w:t>CRediT author statement: [To be supplied]</w:t>
      </w:r>
    </w:p>
    <w:p>
      <w:r>
        <w:t>Author biographies (maximum 100 words each): [To be supplied]</w:t>
      </w:r>
    </w:p>
    <w:p>
      <w:r>
        <w:t>Author details are intentionally not inferred from repository or account metadata.</w:t>
      </w:r>
    </w:p>
    <w:sectPr w:rsidR="00FC693F" w:rsidRPr="0006063C" w:rsidSect="00034616">
      <w:pgSz w:w="12240" w:h="15840"/>
      <w:pgMar w:top="1440" w:right="1440" w:bottom="1440" w:left="144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/>
      <w:b/>
      <w:i w:val="0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20"/>
    </w:pPr>
    <w:rPr>
      <w:rFonts w:ascii="Times New Roman" w:hAnsi="Times New Roman"/>
      <w:b w:val="0"/>
      <w:bCs/>
      <w:i w:val="0"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