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Legacy standards as frozen solutions to obsolete optimization problems: a framework for technological change and adaptive re-optimization</w:t>
      </w:r>
    </w:p>
    <w:p>
      <w:pPr>
        <w:pStyle w:val="Heading1"/>
      </w:pPr>
      <w:r>
        <w:t>S1. Pre-specification and frozen selection</w:t>
      </w:r>
    </w:p>
    <w:p>
      <w:r>
        <w:t>The candidate universe contained 122 candidates in 12 domains. 7 roles were frozen before confirmatory estimation. The artifact hash and every input hash are stored in frozen_case_set.json and frozen_case_set.sha256. Expected effect direction, magnitude, significance, and narrative usefulness were excluded from scoring.</w:t>
      </w:r>
    </w:p>
    <w:p>
      <w:pPr>
        <w:pStyle w:val="Heading1"/>
      </w:pPr>
      <w:r>
        <w:t>S2. Source preservation</w:t>
      </w:r>
    </w:p>
    <w:p>
      <w:r>
        <w:t>Public analysis inputs were saved under data/raw before use. SOURCE_REGISTRY.csv records URL, identifier, version or date, UTC access time, retrieval conditions, local path, file size, SHA-256, terms, completeness, and notes. Existing raw snapshots are never overwritten. A copyrighted ISO 216 sample is retained locally for verification but excluded from the public Git repository.</w:t>
      </w:r>
    </w:p>
    <w:p>
      <w:pPr>
        <w:jc w:val="left"/>
      </w:pPr>
      <w:r>
        <w:rPr>
          <w:b/>
        </w:rPr>
        <w:t>Table S2. Registered case-specific evidence and data sources.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D9EAF7"/>
          </w:tcPr>
          <w:p>
            <w:pPr>
              <w:spacing w:after="0"/>
            </w:pPr>
            <w:r/>
            <w:r>
              <w:rPr>
                <w:rFonts w:ascii="Times New Roman" w:hAnsi="Times New Roman"/>
                <w:b/>
                <w:sz w:val="18"/>
              </w:rPr>
              <w:t>Case</w:t>
            </w:r>
          </w:p>
        </w:tc>
        <w:tc>
          <w:tcPr>
            <w:tcW w:type="dxa" w:w="1872"/>
            <w:vAlign w:val="center"/>
            <w:shd w:fill="D9EAF7"/>
          </w:tcPr>
          <w:p>
            <w:pPr>
              <w:spacing w:after="0"/>
            </w:pPr>
            <w:r/>
            <w:r>
              <w:rPr>
                <w:rFonts w:ascii="Times New Roman" w:hAnsi="Times New Roman"/>
                <w:b/>
                <w:sz w:val="18"/>
              </w:rPr>
              <w:t>Source ID</w:t>
            </w:r>
          </w:p>
        </w:tc>
        <w:tc>
          <w:tcPr>
            <w:tcW w:type="dxa" w:w="1872"/>
            <w:vAlign w:val="center"/>
            <w:shd w:fill="D9EAF7"/>
          </w:tcPr>
          <w:p>
            <w:pPr>
              <w:spacing w:after="0"/>
            </w:pPr>
            <w:r/>
            <w:r>
              <w:rPr>
                <w:rFonts w:ascii="Times New Roman" w:hAnsi="Times New Roman"/>
                <w:b/>
                <w:sz w:val="18"/>
              </w:rPr>
              <w:t>Title</w:t>
            </w:r>
          </w:p>
        </w:tc>
        <w:tc>
          <w:tcPr>
            <w:tcW w:type="dxa" w:w="1872"/>
            <w:vAlign w:val="center"/>
            <w:shd w:fill="D9EAF7"/>
          </w:tcPr>
          <w:p>
            <w:pPr>
              <w:spacing w:after="0"/>
            </w:pPr>
            <w:r/>
            <w:r>
              <w:rPr>
                <w:rFonts w:ascii="Times New Roman" w:hAnsi="Times New Roman"/>
                <w:b/>
                <w:sz w:val="18"/>
              </w:rPr>
              <w:t>Identifier</w:t>
            </w:r>
          </w:p>
        </w:tc>
        <w:tc>
          <w:tcPr>
            <w:tcW w:type="dxa" w:w="1872"/>
            <w:vAlign w:val="center"/>
            <w:shd w:fill="D9EAF7"/>
          </w:tcPr>
          <w:p>
            <w:pPr>
              <w:spacing w:after="0"/>
            </w:pPr>
            <w:r/>
            <w:r>
              <w:rPr>
                <w:rFonts w:ascii="Times New Roman" w:hAnsi="Times New Roman"/>
                <w:b/>
                <w:sz w:val="18"/>
              </w:rPr>
              <w:t>SHA-256 prefix</w:t>
            </w:r>
          </w:p>
        </w:tc>
      </w:tr>
      <w:tr>
        <w:trPr>
          <w:cantSplit/>
        </w:trPr>
        <w:tc>
          <w:tcPr>
            <w:tcW w:type="dxa" w:w="1872"/>
            <w:vAlign w:val="center"/>
          </w:tcPr>
          <w:p>
            <w:pPr>
              <w:spacing w:after="0"/>
            </w:pPr>
            <w:r/>
            <w:r>
              <w:rPr>
                <w:rFonts w:ascii="Times New Roman" w:hAnsi="Times New Roman"/>
                <w:b w:val="0"/>
                <w:sz w:val="18"/>
              </w:rPr>
              <w:t>BE03</w:t>
            </w:r>
          </w:p>
        </w:tc>
        <w:tc>
          <w:tcPr>
            <w:tcW w:type="dxa" w:w="1872"/>
            <w:vAlign w:val="center"/>
          </w:tcPr>
          <w:p>
            <w:pPr>
              <w:spacing w:after="0"/>
            </w:pPr>
            <w:r/>
            <w:r>
              <w:rPr>
                <w:rFonts w:ascii="Times New Roman" w:hAnsi="Times New Roman"/>
                <w:b w:val="0"/>
                <w:sz w:val="18"/>
              </w:rPr>
              <w:t>SEL-BE03-UCI-META</w:t>
            </w:r>
          </w:p>
        </w:tc>
        <w:tc>
          <w:tcPr>
            <w:tcW w:type="dxa" w:w="1872"/>
            <w:vAlign w:val="center"/>
          </w:tcPr>
          <w:p>
            <w:pPr>
              <w:spacing w:after="0"/>
            </w:pPr>
            <w:r/>
            <w:r>
              <w:rPr>
                <w:rFonts w:ascii="Times New Roman" w:hAnsi="Times New Roman"/>
                <w:b w:val="0"/>
                <w:sz w:val="18"/>
              </w:rPr>
              <w:t>UCI Occupancy Detection dataset metadata</w:t>
            </w:r>
          </w:p>
        </w:tc>
        <w:tc>
          <w:tcPr>
            <w:tcW w:type="dxa" w:w="1872"/>
            <w:vAlign w:val="center"/>
          </w:tcPr>
          <w:p>
            <w:pPr>
              <w:spacing w:after="0"/>
            </w:pPr>
            <w:r/>
            <w:r>
              <w:rPr>
                <w:rFonts w:ascii="Times New Roman" w:hAnsi="Times New Roman"/>
                <w:b w:val="0"/>
                <w:sz w:val="18"/>
              </w:rPr>
              <w:t>UCI dataset 357; DOI 10.24432/C5X01N</w:t>
            </w:r>
          </w:p>
        </w:tc>
        <w:tc>
          <w:tcPr>
            <w:tcW w:type="dxa" w:w="1872"/>
            <w:vAlign w:val="center"/>
          </w:tcPr>
          <w:p>
            <w:pPr>
              <w:spacing w:after="0"/>
            </w:pPr>
            <w:r/>
            <w:r>
              <w:rPr>
                <w:rFonts w:ascii="Times New Roman" w:hAnsi="Times New Roman"/>
                <w:b w:val="0"/>
                <w:sz w:val="18"/>
              </w:rPr>
              <w:t>3615bf0faa2a</w:t>
            </w:r>
          </w:p>
        </w:tc>
      </w:tr>
      <w:tr>
        <w:trPr>
          <w:cantSplit/>
        </w:trPr>
        <w:tc>
          <w:tcPr>
            <w:tcW w:type="dxa" w:w="1872"/>
            <w:vAlign w:val="center"/>
          </w:tcPr>
          <w:p>
            <w:pPr>
              <w:spacing w:after="0"/>
            </w:pPr>
            <w:r/>
            <w:r>
              <w:rPr>
                <w:rFonts w:ascii="Times New Roman" w:hAnsi="Times New Roman"/>
                <w:b w:val="0"/>
                <w:sz w:val="18"/>
              </w:rPr>
              <w:t>BE03</w:t>
            </w:r>
          </w:p>
        </w:tc>
        <w:tc>
          <w:tcPr>
            <w:tcW w:type="dxa" w:w="1872"/>
            <w:vAlign w:val="center"/>
          </w:tcPr>
          <w:p>
            <w:pPr>
              <w:spacing w:after="0"/>
            </w:pPr>
            <w:r/>
            <w:r>
              <w:rPr>
                <w:rFonts w:ascii="Times New Roman" w:hAnsi="Times New Roman"/>
                <w:b w:val="0"/>
                <w:sz w:val="18"/>
              </w:rPr>
              <w:t>SEL-BE03-UCI-DATA</w:t>
            </w:r>
          </w:p>
        </w:tc>
        <w:tc>
          <w:tcPr>
            <w:tcW w:type="dxa" w:w="1872"/>
            <w:vAlign w:val="center"/>
          </w:tcPr>
          <w:p>
            <w:pPr>
              <w:spacing w:after="0"/>
            </w:pPr>
            <w:r/>
            <w:r>
              <w:rPr>
                <w:rFonts w:ascii="Times New Roman" w:hAnsi="Times New Roman"/>
                <w:b w:val="0"/>
                <w:sz w:val="18"/>
              </w:rPr>
              <w:t>Occupancy Detection data</w:t>
            </w:r>
          </w:p>
        </w:tc>
        <w:tc>
          <w:tcPr>
            <w:tcW w:type="dxa" w:w="1872"/>
            <w:vAlign w:val="center"/>
          </w:tcPr>
          <w:p>
            <w:pPr>
              <w:spacing w:after="0"/>
            </w:pPr>
            <w:r/>
            <w:r>
              <w:rPr>
                <w:rFonts w:ascii="Times New Roman" w:hAnsi="Times New Roman"/>
                <w:b w:val="0"/>
                <w:sz w:val="18"/>
              </w:rPr>
              <w:t>UCI dataset 357; DOI 10.24432/C5X01N</w:t>
            </w:r>
          </w:p>
        </w:tc>
        <w:tc>
          <w:tcPr>
            <w:tcW w:type="dxa" w:w="1872"/>
            <w:vAlign w:val="center"/>
          </w:tcPr>
          <w:p>
            <w:pPr>
              <w:spacing w:after="0"/>
            </w:pPr>
            <w:r/>
            <w:r>
              <w:rPr>
                <w:rFonts w:ascii="Times New Roman" w:hAnsi="Times New Roman"/>
                <w:b w:val="0"/>
                <w:sz w:val="18"/>
              </w:rPr>
              <w:t>3648f2aa7026</w:t>
            </w:r>
          </w:p>
        </w:tc>
      </w:tr>
      <w:tr>
        <w:trPr>
          <w:cantSplit/>
        </w:trPr>
        <w:tc>
          <w:tcPr>
            <w:tcW w:type="dxa" w:w="1872"/>
            <w:vAlign w:val="center"/>
          </w:tcPr>
          <w:p>
            <w:pPr>
              <w:spacing w:after="0"/>
            </w:pPr>
            <w:r/>
            <w:r>
              <w:rPr>
                <w:rFonts w:ascii="Times New Roman" w:hAnsi="Times New Roman"/>
                <w:b w:val="0"/>
                <w:sz w:val="18"/>
              </w:rPr>
              <w:t>WK07</w:t>
            </w:r>
          </w:p>
        </w:tc>
        <w:tc>
          <w:tcPr>
            <w:tcW w:type="dxa" w:w="1872"/>
            <w:vAlign w:val="center"/>
          </w:tcPr>
          <w:p>
            <w:pPr>
              <w:spacing w:after="0"/>
            </w:pPr>
            <w:r/>
            <w:r>
              <w:rPr>
                <w:rFonts w:ascii="Times New Roman" w:hAnsi="Times New Roman"/>
                <w:b w:val="0"/>
                <w:sz w:val="18"/>
              </w:rPr>
              <w:t>SEL-WK07-NASA-DATA</w:t>
            </w:r>
          </w:p>
        </w:tc>
        <w:tc>
          <w:tcPr>
            <w:tcW w:type="dxa" w:w="1872"/>
            <w:vAlign w:val="center"/>
          </w:tcPr>
          <w:p>
            <w:pPr>
              <w:spacing w:after="0"/>
            </w:pPr>
            <w:r/>
            <w:r>
              <w:rPr>
                <w:rFonts w:ascii="Times New Roman" w:hAnsi="Times New Roman"/>
                <w:b w:val="0"/>
                <w:sz w:val="18"/>
              </w:rPr>
              <w:t>C-MAPSS turbofan engine degradation simulation data</w:t>
            </w:r>
          </w:p>
        </w:tc>
        <w:tc>
          <w:tcPr>
            <w:tcW w:type="dxa" w:w="1872"/>
            <w:vAlign w:val="center"/>
          </w:tcPr>
          <w:p>
            <w:pPr>
              <w:spacing w:after="0"/>
            </w:pPr>
            <w:r/>
            <w:r>
              <w:rPr>
                <w:rFonts w:ascii="Times New Roman" w:hAnsi="Times New Roman"/>
                <w:b w:val="0"/>
                <w:sz w:val="18"/>
              </w:rPr>
              <w:t>NASA C-MAPSS legacy dataset</w:t>
            </w:r>
          </w:p>
        </w:tc>
        <w:tc>
          <w:tcPr>
            <w:tcW w:type="dxa" w:w="1872"/>
            <w:vAlign w:val="center"/>
          </w:tcPr>
          <w:p>
            <w:pPr>
              <w:spacing w:after="0"/>
            </w:pPr>
            <w:r/>
            <w:r>
              <w:rPr>
                <w:rFonts w:ascii="Times New Roman" w:hAnsi="Times New Roman"/>
                <w:b w:val="0"/>
                <w:sz w:val="18"/>
              </w:rPr>
              <w:t>74bef434a34d</w:t>
            </w:r>
          </w:p>
        </w:tc>
      </w:tr>
      <w:tr>
        <w:trPr>
          <w:cantSplit/>
        </w:trPr>
        <w:tc>
          <w:tcPr>
            <w:tcW w:type="dxa" w:w="1872"/>
            <w:vAlign w:val="center"/>
          </w:tcPr>
          <w:p>
            <w:pPr>
              <w:spacing w:after="0"/>
            </w:pPr>
            <w:r/>
            <w:r>
              <w:rPr>
                <w:rFonts w:ascii="Times New Roman" w:hAnsi="Times New Roman"/>
                <w:b w:val="0"/>
                <w:sz w:val="18"/>
              </w:rPr>
              <w:t>WK07</w:t>
            </w:r>
          </w:p>
        </w:tc>
        <w:tc>
          <w:tcPr>
            <w:tcW w:type="dxa" w:w="1872"/>
            <w:vAlign w:val="center"/>
          </w:tcPr>
          <w:p>
            <w:pPr>
              <w:spacing w:after="0"/>
            </w:pPr>
            <w:r/>
            <w:r>
              <w:rPr>
                <w:rFonts w:ascii="Times New Roman" w:hAnsi="Times New Roman"/>
                <w:b w:val="0"/>
                <w:sz w:val="18"/>
              </w:rPr>
              <w:t>SEL-WK07-NASA-PAPER</w:t>
            </w:r>
          </w:p>
        </w:tc>
        <w:tc>
          <w:tcPr>
            <w:tcW w:type="dxa" w:w="1872"/>
            <w:vAlign w:val="center"/>
          </w:tcPr>
          <w:p>
            <w:pPr>
              <w:spacing w:after="0"/>
            </w:pPr>
            <w:r/>
            <w:r>
              <w:rPr>
                <w:rFonts w:ascii="Times New Roman" w:hAnsi="Times New Roman"/>
                <w:b w:val="0"/>
                <w:sz w:val="18"/>
              </w:rPr>
              <w:t>Review and Analysis of Algorithmic Approaches Developed for Prognostics on CMAPSS Dataset</w:t>
            </w:r>
          </w:p>
        </w:tc>
        <w:tc>
          <w:tcPr>
            <w:tcW w:type="dxa" w:w="1872"/>
            <w:vAlign w:val="center"/>
          </w:tcPr>
          <w:p>
            <w:pPr>
              <w:spacing w:after="0"/>
            </w:pPr>
            <w:r/>
            <w:r>
              <w:rPr>
                <w:rFonts w:ascii="Times New Roman" w:hAnsi="Times New Roman"/>
                <w:b w:val="0"/>
                <w:sz w:val="18"/>
              </w:rPr>
              <w:t>NASA NTRS 20150007677</w:t>
            </w:r>
          </w:p>
        </w:tc>
        <w:tc>
          <w:tcPr>
            <w:tcW w:type="dxa" w:w="1872"/>
            <w:vAlign w:val="center"/>
          </w:tcPr>
          <w:p>
            <w:pPr>
              <w:spacing w:after="0"/>
            </w:pPr>
            <w:r/>
            <w:r>
              <w:rPr>
                <w:rFonts w:ascii="Times New Roman" w:hAnsi="Times New Roman"/>
                <w:b w:val="0"/>
                <w:sz w:val="18"/>
              </w:rPr>
              <w:t>5b42232526e3</w:t>
            </w:r>
          </w:p>
        </w:tc>
      </w:tr>
      <w:tr>
        <w:trPr>
          <w:cantSplit/>
        </w:trPr>
        <w:tc>
          <w:tcPr>
            <w:tcW w:type="dxa" w:w="1872"/>
            <w:vAlign w:val="center"/>
          </w:tcPr>
          <w:p>
            <w:pPr>
              <w:spacing w:after="0"/>
            </w:pPr>
            <w:r/>
            <w:r>
              <w:rPr>
                <w:rFonts w:ascii="Times New Roman" w:hAnsi="Times New Roman"/>
                <w:b w:val="0"/>
                <w:sz w:val="18"/>
              </w:rPr>
              <w:t>UI01</w:t>
            </w:r>
          </w:p>
        </w:tc>
        <w:tc>
          <w:tcPr>
            <w:tcW w:type="dxa" w:w="1872"/>
            <w:vAlign w:val="center"/>
          </w:tcPr>
          <w:p>
            <w:pPr>
              <w:spacing w:after="0"/>
            </w:pPr>
            <w:r/>
            <w:r>
              <w:rPr>
                <w:rFonts w:ascii="Times New Roman" w:hAnsi="Times New Roman"/>
                <w:b w:val="0"/>
                <w:sz w:val="18"/>
              </w:rPr>
              <w:t>SEL-UI01-OPSD-DATA</w:t>
            </w:r>
          </w:p>
        </w:tc>
        <w:tc>
          <w:tcPr>
            <w:tcW w:type="dxa" w:w="1872"/>
            <w:vAlign w:val="center"/>
          </w:tcPr>
          <w:p>
            <w:pPr>
              <w:spacing w:after="0"/>
            </w:pPr>
            <w:r/>
            <w:r>
              <w:rPr>
                <w:rFonts w:ascii="Times New Roman" w:hAnsi="Times New Roman"/>
                <w:b w:val="0"/>
                <w:sz w:val="18"/>
              </w:rPr>
              <w:t>Open Power System Data time series, 60-minute single-index format</w:t>
            </w:r>
          </w:p>
        </w:tc>
        <w:tc>
          <w:tcPr>
            <w:tcW w:type="dxa" w:w="1872"/>
            <w:vAlign w:val="center"/>
          </w:tcPr>
          <w:p>
            <w:pPr>
              <w:spacing w:after="0"/>
            </w:pPr>
            <w:r/>
            <w:r>
              <w:rPr>
                <w:rFonts w:ascii="Times New Roman" w:hAnsi="Times New Roman"/>
                <w:b w:val="0"/>
                <w:sz w:val="18"/>
              </w:rPr>
              <w:t>OPSD time_series 2020-10-06</w:t>
            </w:r>
          </w:p>
        </w:tc>
        <w:tc>
          <w:tcPr>
            <w:tcW w:type="dxa" w:w="1872"/>
            <w:vAlign w:val="center"/>
          </w:tcPr>
          <w:p>
            <w:pPr>
              <w:spacing w:after="0"/>
            </w:pPr>
            <w:r/>
            <w:r>
              <w:rPr>
                <w:rFonts w:ascii="Times New Roman" w:hAnsi="Times New Roman"/>
                <w:b w:val="0"/>
                <w:sz w:val="18"/>
              </w:rPr>
              <w:t>6a7f2bc57131</w:t>
            </w:r>
          </w:p>
        </w:tc>
      </w:tr>
      <w:tr>
        <w:trPr>
          <w:cantSplit/>
        </w:trPr>
        <w:tc>
          <w:tcPr>
            <w:tcW w:type="dxa" w:w="1872"/>
            <w:vAlign w:val="center"/>
          </w:tcPr>
          <w:p>
            <w:pPr>
              <w:spacing w:after="0"/>
            </w:pPr>
            <w:r/>
            <w:r>
              <w:rPr>
                <w:rFonts w:ascii="Times New Roman" w:hAnsi="Times New Roman"/>
                <w:b w:val="0"/>
                <w:sz w:val="18"/>
              </w:rPr>
              <w:t>UI01</w:t>
            </w:r>
          </w:p>
        </w:tc>
        <w:tc>
          <w:tcPr>
            <w:tcW w:type="dxa" w:w="1872"/>
            <w:vAlign w:val="center"/>
          </w:tcPr>
          <w:p>
            <w:pPr>
              <w:spacing w:after="0"/>
            </w:pPr>
            <w:r/>
            <w:r>
              <w:rPr>
                <w:rFonts w:ascii="Times New Roman" w:hAnsi="Times New Roman"/>
                <w:b w:val="0"/>
                <w:sz w:val="18"/>
              </w:rPr>
              <w:t>SEL-UI01-DOE-RATES</w:t>
            </w:r>
          </w:p>
        </w:tc>
        <w:tc>
          <w:tcPr>
            <w:tcW w:type="dxa" w:w="1872"/>
            <w:vAlign w:val="center"/>
          </w:tcPr>
          <w:p>
            <w:pPr>
              <w:spacing w:after="0"/>
            </w:pPr>
            <w:r/>
            <w:r>
              <w:rPr>
                <w:rFonts w:ascii="Times New Roman" w:hAnsi="Times New Roman"/>
                <w:b w:val="0"/>
                <w:sz w:val="18"/>
              </w:rPr>
              <w:t>Customer Acceptance, Retention, and Response to Time-Based Rates</w:t>
            </w:r>
          </w:p>
        </w:tc>
        <w:tc>
          <w:tcPr>
            <w:tcW w:type="dxa" w:w="1872"/>
            <w:vAlign w:val="center"/>
          </w:tcPr>
          <w:p>
            <w:pPr>
              <w:spacing w:after="0"/>
            </w:pPr>
            <w:r/>
            <w:r>
              <w:rPr>
                <w:rFonts w:ascii="Times New Roman" w:hAnsi="Times New Roman"/>
                <w:b w:val="0"/>
                <w:sz w:val="18"/>
              </w:rPr>
              <w:t>DOE Consumer Behavior Studies final program impact report</w:t>
            </w:r>
          </w:p>
        </w:tc>
        <w:tc>
          <w:tcPr>
            <w:tcW w:type="dxa" w:w="1872"/>
            <w:vAlign w:val="center"/>
          </w:tcPr>
          <w:p>
            <w:pPr>
              <w:spacing w:after="0"/>
            </w:pPr>
            <w:r/>
            <w:r>
              <w:rPr>
                <w:rFonts w:ascii="Times New Roman" w:hAnsi="Times New Roman"/>
                <w:b w:val="0"/>
                <w:sz w:val="18"/>
              </w:rPr>
              <w:t>6abbf75f3c09</w:t>
            </w:r>
          </w:p>
        </w:tc>
      </w:tr>
      <w:tr>
        <w:trPr>
          <w:cantSplit/>
        </w:trPr>
        <w:tc>
          <w:tcPr>
            <w:tcW w:type="dxa" w:w="1872"/>
            <w:vAlign w:val="center"/>
          </w:tcPr>
          <w:p>
            <w:pPr>
              <w:spacing w:after="0"/>
            </w:pPr>
            <w:r/>
            <w:r>
              <w:rPr>
                <w:rFonts w:ascii="Times New Roman" w:hAnsi="Times New Roman"/>
                <w:b w:val="0"/>
                <w:sz w:val="18"/>
              </w:rPr>
              <w:t>UI09</w:t>
            </w:r>
          </w:p>
        </w:tc>
        <w:tc>
          <w:tcPr>
            <w:tcW w:type="dxa" w:w="1872"/>
            <w:vAlign w:val="center"/>
          </w:tcPr>
          <w:p>
            <w:pPr>
              <w:spacing w:after="0"/>
            </w:pPr>
            <w:r/>
            <w:r>
              <w:rPr>
                <w:rFonts w:ascii="Times New Roman" w:hAnsi="Times New Roman"/>
                <w:b w:val="0"/>
                <w:sz w:val="18"/>
              </w:rPr>
              <w:t>SEL-UI09-FAO56</w:t>
            </w:r>
          </w:p>
        </w:tc>
        <w:tc>
          <w:tcPr>
            <w:tcW w:type="dxa" w:w="1872"/>
            <w:vAlign w:val="center"/>
          </w:tcPr>
          <w:p>
            <w:pPr>
              <w:spacing w:after="0"/>
            </w:pPr>
            <w:r/>
            <w:r>
              <w:rPr>
                <w:rFonts w:ascii="Times New Roman" w:hAnsi="Times New Roman"/>
                <w:b w:val="0"/>
                <w:sz w:val="18"/>
              </w:rPr>
              <w:t>Crop evapotranspiration: Guidelines for computing crop water requirements, revised edition</w:t>
            </w:r>
          </w:p>
        </w:tc>
        <w:tc>
          <w:tcPr>
            <w:tcW w:type="dxa" w:w="1872"/>
            <w:vAlign w:val="center"/>
          </w:tcPr>
          <w:p>
            <w:pPr>
              <w:spacing w:after="0"/>
            </w:pPr>
            <w:r/>
            <w:r>
              <w:rPr>
                <w:rFonts w:ascii="Times New Roman" w:hAnsi="Times New Roman"/>
                <w:b w:val="0"/>
                <w:sz w:val="18"/>
              </w:rPr>
              <w:t>FAO Irrigation and Drainage Paper 56 Rev.1; ISBN 978-92-5-140060-9</w:t>
            </w:r>
          </w:p>
        </w:tc>
        <w:tc>
          <w:tcPr>
            <w:tcW w:type="dxa" w:w="1872"/>
            <w:vAlign w:val="center"/>
          </w:tcPr>
          <w:p>
            <w:pPr>
              <w:spacing w:after="0"/>
            </w:pPr>
            <w:r/>
            <w:r>
              <w:rPr>
                <w:rFonts w:ascii="Times New Roman" w:hAnsi="Times New Roman"/>
                <w:b w:val="0"/>
                <w:sz w:val="18"/>
              </w:rPr>
              <w:t>85c5657fa6b8</w:t>
            </w:r>
          </w:p>
        </w:tc>
      </w:tr>
      <w:tr>
        <w:trPr>
          <w:cantSplit/>
        </w:trPr>
        <w:tc>
          <w:tcPr>
            <w:tcW w:type="dxa" w:w="1872"/>
            <w:vAlign w:val="center"/>
          </w:tcPr>
          <w:p>
            <w:pPr>
              <w:spacing w:after="0"/>
            </w:pPr>
            <w:r/>
            <w:r>
              <w:rPr>
                <w:rFonts w:ascii="Times New Roman" w:hAnsi="Times New Roman"/>
                <w:b w:val="0"/>
                <w:sz w:val="18"/>
              </w:rPr>
              <w:t>UI09</w:t>
            </w:r>
          </w:p>
        </w:tc>
        <w:tc>
          <w:tcPr>
            <w:tcW w:type="dxa" w:w="1872"/>
            <w:vAlign w:val="center"/>
          </w:tcPr>
          <w:p>
            <w:pPr>
              <w:spacing w:after="0"/>
            </w:pPr>
            <w:r/>
            <w:r>
              <w:rPr>
                <w:rFonts w:ascii="Times New Roman" w:hAnsi="Times New Roman"/>
                <w:b w:val="0"/>
                <w:sz w:val="18"/>
              </w:rPr>
              <w:t>SEL-UI09-NASA-POWER</w:t>
            </w:r>
          </w:p>
        </w:tc>
        <w:tc>
          <w:tcPr>
            <w:tcW w:type="dxa" w:w="1872"/>
            <w:vAlign w:val="center"/>
          </w:tcPr>
          <w:p>
            <w:pPr>
              <w:spacing w:after="0"/>
            </w:pPr>
            <w:r/>
            <w:r>
              <w:rPr>
                <w:rFonts w:ascii="Times New Roman" w:hAnsi="Times New Roman"/>
                <w:b w:val="0"/>
                <w:sz w:val="18"/>
              </w:rPr>
              <w:t>NASA POWER daily agricultural meteorology for Davis, California</w:t>
            </w:r>
          </w:p>
        </w:tc>
        <w:tc>
          <w:tcPr>
            <w:tcW w:type="dxa" w:w="1872"/>
            <w:vAlign w:val="center"/>
          </w:tcPr>
          <w:p>
            <w:pPr>
              <w:spacing w:after="0"/>
            </w:pPr>
            <w:r/>
            <w:r>
              <w:rPr>
                <w:rFonts w:ascii="Times New Roman" w:hAnsi="Times New Roman"/>
                <w:b w:val="0"/>
                <w:sz w:val="18"/>
              </w:rPr>
              <w:t>NASA POWER point request, Davis CA, 2015-01-01 to 2024-12-31</w:t>
            </w:r>
          </w:p>
        </w:tc>
        <w:tc>
          <w:tcPr>
            <w:tcW w:type="dxa" w:w="1872"/>
            <w:vAlign w:val="center"/>
          </w:tcPr>
          <w:p>
            <w:pPr>
              <w:spacing w:after="0"/>
            </w:pPr>
            <w:r/>
            <w:r>
              <w:rPr>
                <w:rFonts w:ascii="Times New Roman" w:hAnsi="Times New Roman"/>
                <w:b w:val="0"/>
                <w:sz w:val="18"/>
              </w:rPr>
              <w:t>a8b5e65faf0c</w:t>
            </w:r>
          </w:p>
        </w:tc>
      </w:tr>
      <w:tr>
        <w:trPr>
          <w:cantSplit/>
        </w:trPr>
        <w:tc>
          <w:tcPr>
            <w:tcW w:type="dxa" w:w="1872"/>
            <w:vAlign w:val="center"/>
          </w:tcPr>
          <w:p>
            <w:pPr>
              <w:spacing w:after="0"/>
            </w:pPr>
            <w:r/>
            <w:r>
              <w:rPr>
                <w:rFonts w:ascii="Times New Roman" w:hAnsi="Times New Roman"/>
                <w:b w:val="0"/>
                <w:sz w:val="18"/>
              </w:rPr>
              <w:t>TR01</w:t>
            </w:r>
          </w:p>
        </w:tc>
        <w:tc>
          <w:tcPr>
            <w:tcW w:type="dxa" w:w="1872"/>
            <w:vAlign w:val="center"/>
          </w:tcPr>
          <w:p>
            <w:pPr>
              <w:spacing w:after="0"/>
            </w:pPr>
            <w:r/>
            <w:r>
              <w:rPr>
                <w:rFonts w:ascii="Times New Roman" w:hAnsi="Times New Roman"/>
                <w:b w:val="0"/>
                <w:sz w:val="18"/>
              </w:rPr>
              <w:t>SEL-TR01-FHWA</w:t>
            </w:r>
          </w:p>
        </w:tc>
        <w:tc>
          <w:tcPr>
            <w:tcW w:type="dxa" w:w="1872"/>
            <w:vAlign w:val="center"/>
          </w:tcPr>
          <w:p>
            <w:pPr>
              <w:spacing w:after="0"/>
            </w:pPr>
            <w:r/>
            <w:r>
              <w:rPr>
                <w:rFonts w:ascii="Times New Roman" w:hAnsi="Times New Roman"/>
                <w:b w:val="0"/>
                <w:sz w:val="18"/>
              </w:rPr>
              <w:t>Traffic Signal Timing Manual</w:t>
            </w:r>
          </w:p>
        </w:tc>
        <w:tc>
          <w:tcPr>
            <w:tcW w:type="dxa" w:w="1872"/>
            <w:vAlign w:val="center"/>
          </w:tcPr>
          <w:p>
            <w:pPr>
              <w:spacing w:after="0"/>
            </w:pPr>
            <w:r/>
            <w:r>
              <w:rPr>
                <w:rFonts w:ascii="Times New Roman" w:hAnsi="Times New Roman"/>
                <w:b w:val="0"/>
                <w:sz w:val="18"/>
              </w:rPr>
              <w:t>FHWA-HOP-08-024</w:t>
            </w:r>
          </w:p>
        </w:tc>
        <w:tc>
          <w:tcPr>
            <w:tcW w:type="dxa" w:w="1872"/>
            <w:vAlign w:val="center"/>
          </w:tcPr>
          <w:p>
            <w:pPr>
              <w:spacing w:after="0"/>
            </w:pPr>
            <w:r/>
            <w:r>
              <w:rPr>
                <w:rFonts w:ascii="Times New Roman" w:hAnsi="Times New Roman"/>
                <w:b w:val="0"/>
                <w:sz w:val="18"/>
              </w:rPr>
              <w:t>675df7afec87</w:t>
            </w:r>
          </w:p>
        </w:tc>
      </w:tr>
      <w:tr>
        <w:trPr>
          <w:cantSplit/>
        </w:trPr>
        <w:tc>
          <w:tcPr>
            <w:tcW w:type="dxa" w:w="1872"/>
            <w:vAlign w:val="center"/>
          </w:tcPr>
          <w:p>
            <w:pPr>
              <w:spacing w:after="0"/>
            </w:pPr>
            <w:r/>
            <w:r>
              <w:rPr>
                <w:rFonts w:ascii="Times New Roman" w:hAnsi="Times New Roman"/>
                <w:b w:val="0"/>
                <w:sz w:val="18"/>
              </w:rPr>
              <w:t>TR01</w:t>
            </w:r>
          </w:p>
        </w:tc>
        <w:tc>
          <w:tcPr>
            <w:tcW w:type="dxa" w:w="1872"/>
            <w:vAlign w:val="center"/>
          </w:tcPr>
          <w:p>
            <w:pPr>
              <w:spacing w:after="0"/>
            </w:pPr>
            <w:r/>
            <w:r>
              <w:rPr>
                <w:rFonts w:ascii="Times New Roman" w:hAnsi="Times New Roman"/>
                <w:b w:val="0"/>
                <w:sz w:val="18"/>
              </w:rPr>
              <w:t>SEL-TR01-NYC-META</w:t>
            </w:r>
          </w:p>
        </w:tc>
        <w:tc>
          <w:tcPr>
            <w:tcW w:type="dxa" w:w="1872"/>
            <w:vAlign w:val="center"/>
          </w:tcPr>
          <w:p>
            <w:pPr>
              <w:spacing w:after="0"/>
            </w:pPr>
            <w:r/>
            <w:r>
              <w:rPr>
                <w:rFonts w:ascii="Times New Roman" w:hAnsi="Times New Roman"/>
                <w:b w:val="0"/>
                <w:sz w:val="18"/>
              </w:rPr>
              <w:t>Traffic Volume Counts (Historical) metadata</w:t>
            </w:r>
          </w:p>
        </w:tc>
        <w:tc>
          <w:tcPr>
            <w:tcW w:type="dxa" w:w="1872"/>
            <w:vAlign w:val="center"/>
          </w:tcPr>
          <w:p>
            <w:pPr>
              <w:spacing w:after="0"/>
            </w:pPr>
            <w:r/>
            <w:r>
              <w:rPr>
                <w:rFonts w:ascii="Times New Roman" w:hAnsi="Times New Roman"/>
                <w:b w:val="0"/>
                <w:sz w:val="18"/>
              </w:rPr>
              <w:t>NYC Open Data btm5-ppia</w:t>
            </w:r>
          </w:p>
        </w:tc>
        <w:tc>
          <w:tcPr>
            <w:tcW w:type="dxa" w:w="1872"/>
            <w:vAlign w:val="center"/>
          </w:tcPr>
          <w:p>
            <w:pPr>
              <w:spacing w:after="0"/>
            </w:pPr>
            <w:r/>
            <w:r>
              <w:rPr>
                <w:rFonts w:ascii="Times New Roman" w:hAnsi="Times New Roman"/>
                <w:b w:val="0"/>
                <w:sz w:val="18"/>
              </w:rPr>
              <w:t>aeef606b1956</w:t>
            </w:r>
          </w:p>
        </w:tc>
      </w:tr>
      <w:tr>
        <w:trPr>
          <w:cantSplit/>
        </w:trPr>
        <w:tc>
          <w:tcPr>
            <w:tcW w:type="dxa" w:w="1872"/>
            <w:vAlign w:val="center"/>
          </w:tcPr>
          <w:p>
            <w:pPr>
              <w:spacing w:after="0"/>
            </w:pPr>
            <w:r/>
            <w:r>
              <w:rPr>
                <w:rFonts w:ascii="Times New Roman" w:hAnsi="Times New Roman"/>
                <w:b w:val="0"/>
                <w:sz w:val="18"/>
              </w:rPr>
              <w:t>TR01</w:t>
            </w:r>
          </w:p>
        </w:tc>
        <w:tc>
          <w:tcPr>
            <w:tcW w:type="dxa" w:w="1872"/>
            <w:vAlign w:val="center"/>
          </w:tcPr>
          <w:p>
            <w:pPr>
              <w:spacing w:after="0"/>
            </w:pPr>
            <w:r/>
            <w:r>
              <w:rPr>
                <w:rFonts w:ascii="Times New Roman" w:hAnsi="Times New Roman"/>
                <w:b w:val="0"/>
                <w:sz w:val="18"/>
              </w:rPr>
              <w:t>SEL-TR01-NYC-DATA</w:t>
            </w:r>
          </w:p>
        </w:tc>
        <w:tc>
          <w:tcPr>
            <w:tcW w:type="dxa" w:w="1872"/>
            <w:vAlign w:val="center"/>
          </w:tcPr>
          <w:p>
            <w:pPr>
              <w:spacing w:after="0"/>
            </w:pPr>
            <w:r/>
            <w:r>
              <w:rPr>
                <w:rFonts w:ascii="Times New Roman" w:hAnsi="Times New Roman"/>
                <w:b w:val="0"/>
                <w:sz w:val="18"/>
              </w:rPr>
              <w:t>Traffic Volume Counts (Historical), complete Socrata export</w:t>
            </w:r>
          </w:p>
        </w:tc>
        <w:tc>
          <w:tcPr>
            <w:tcW w:type="dxa" w:w="1872"/>
            <w:vAlign w:val="center"/>
          </w:tcPr>
          <w:p>
            <w:pPr>
              <w:spacing w:after="0"/>
            </w:pPr>
            <w:r/>
            <w:r>
              <w:rPr>
                <w:rFonts w:ascii="Times New Roman" w:hAnsi="Times New Roman"/>
                <w:b w:val="0"/>
                <w:sz w:val="18"/>
              </w:rPr>
              <w:t>NYC Open Data btm5-ppia</w:t>
            </w:r>
          </w:p>
        </w:tc>
        <w:tc>
          <w:tcPr>
            <w:tcW w:type="dxa" w:w="1872"/>
            <w:vAlign w:val="center"/>
          </w:tcPr>
          <w:p>
            <w:pPr>
              <w:spacing w:after="0"/>
            </w:pPr>
            <w:r/>
            <w:r>
              <w:rPr>
                <w:rFonts w:ascii="Times New Roman" w:hAnsi="Times New Roman"/>
                <w:b w:val="0"/>
                <w:sz w:val="18"/>
              </w:rPr>
              <w:t>a7ee5895d8d0</w:t>
            </w:r>
          </w:p>
        </w:tc>
      </w:tr>
      <w:tr>
        <w:trPr>
          <w:cantSplit/>
        </w:trPr>
        <w:tc>
          <w:tcPr>
            <w:tcW w:type="dxa" w:w="1872"/>
            <w:vAlign w:val="center"/>
          </w:tcPr>
          <w:p>
            <w:pPr>
              <w:spacing w:after="0"/>
            </w:pPr>
            <w:r/>
            <w:r>
              <w:rPr>
                <w:rFonts w:ascii="Times New Roman" w:hAnsi="Times New Roman"/>
                <w:b w:val="0"/>
                <w:sz w:val="18"/>
              </w:rPr>
              <w:t>NC01</w:t>
            </w:r>
          </w:p>
        </w:tc>
        <w:tc>
          <w:tcPr>
            <w:tcW w:type="dxa" w:w="1872"/>
            <w:vAlign w:val="center"/>
          </w:tcPr>
          <w:p>
            <w:pPr>
              <w:spacing w:after="0"/>
            </w:pPr>
            <w:r/>
            <w:r>
              <w:rPr>
                <w:rFonts w:ascii="Times New Roman" w:hAnsi="Times New Roman"/>
                <w:b w:val="0"/>
                <w:sz w:val="18"/>
              </w:rPr>
              <w:t>SEL-NC01-ISO668</w:t>
            </w:r>
          </w:p>
        </w:tc>
        <w:tc>
          <w:tcPr>
            <w:tcW w:type="dxa" w:w="1872"/>
            <w:vAlign w:val="center"/>
          </w:tcPr>
          <w:p>
            <w:pPr>
              <w:spacing w:after="0"/>
            </w:pPr>
            <w:r/>
            <w:r>
              <w:rPr>
                <w:rFonts w:ascii="Times New Roman" w:hAnsi="Times New Roman"/>
                <w:b w:val="0"/>
                <w:sz w:val="18"/>
              </w:rPr>
              <w:t>ISO 668:2020 Series 1 freight containers — Classification, dimensions and ratings</w:t>
            </w:r>
          </w:p>
        </w:tc>
        <w:tc>
          <w:tcPr>
            <w:tcW w:type="dxa" w:w="1872"/>
            <w:vAlign w:val="center"/>
          </w:tcPr>
          <w:p>
            <w:pPr>
              <w:spacing w:after="0"/>
            </w:pPr>
            <w:r/>
            <w:r>
              <w:rPr>
                <w:rFonts w:ascii="Times New Roman" w:hAnsi="Times New Roman"/>
                <w:b w:val="0"/>
                <w:sz w:val="18"/>
              </w:rPr>
              <w:t>ISO 668:2020</w:t>
            </w:r>
          </w:p>
        </w:tc>
        <w:tc>
          <w:tcPr>
            <w:tcW w:type="dxa" w:w="1872"/>
            <w:vAlign w:val="center"/>
          </w:tcPr>
          <w:p>
            <w:pPr>
              <w:spacing w:after="0"/>
            </w:pPr>
            <w:r/>
            <w:r>
              <w:rPr>
                <w:rFonts w:ascii="Times New Roman" w:hAnsi="Times New Roman"/>
                <w:b w:val="0"/>
                <w:sz w:val="18"/>
              </w:rPr>
              <w:t>1113d2ed8a76</w:t>
            </w:r>
          </w:p>
        </w:tc>
      </w:tr>
      <w:tr>
        <w:trPr>
          <w:cantSplit/>
        </w:trPr>
        <w:tc>
          <w:tcPr>
            <w:tcW w:type="dxa" w:w="1872"/>
            <w:vAlign w:val="center"/>
          </w:tcPr>
          <w:p>
            <w:pPr>
              <w:spacing w:after="0"/>
            </w:pPr>
            <w:r/>
            <w:r>
              <w:rPr>
                <w:rFonts w:ascii="Times New Roman" w:hAnsi="Times New Roman"/>
                <w:b w:val="0"/>
                <w:sz w:val="18"/>
              </w:rPr>
              <w:t>NC03</w:t>
            </w:r>
          </w:p>
        </w:tc>
        <w:tc>
          <w:tcPr>
            <w:tcW w:type="dxa" w:w="1872"/>
            <w:vAlign w:val="center"/>
          </w:tcPr>
          <w:p>
            <w:pPr>
              <w:spacing w:after="0"/>
            </w:pPr>
            <w:r/>
            <w:r>
              <w:rPr>
                <w:rFonts w:ascii="Times New Roman" w:hAnsi="Times New Roman"/>
                <w:b w:val="0"/>
                <w:sz w:val="18"/>
              </w:rPr>
              <w:t>SEL-NC03-ISO216</w:t>
            </w:r>
          </w:p>
        </w:tc>
        <w:tc>
          <w:tcPr>
            <w:tcW w:type="dxa" w:w="1872"/>
            <w:vAlign w:val="center"/>
          </w:tcPr>
          <w:p>
            <w:pPr>
              <w:spacing w:after="0"/>
            </w:pPr>
            <w:r/>
            <w:r>
              <w:rPr>
                <w:rFonts w:ascii="Times New Roman" w:hAnsi="Times New Roman"/>
                <w:b w:val="0"/>
                <w:sz w:val="18"/>
              </w:rPr>
              <w:t>ISO 216:2007 Writing paper and certain classes of printed matter — Trimmed sizes</w:t>
            </w:r>
          </w:p>
        </w:tc>
        <w:tc>
          <w:tcPr>
            <w:tcW w:type="dxa" w:w="1872"/>
            <w:vAlign w:val="center"/>
          </w:tcPr>
          <w:p>
            <w:pPr>
              <w:spacing w:after="0"/>
            </w:pPr>
            <w:r/>
            <w:r>
              <w:rPr>
                <w:rFonts w:ascii="Times New Roman" w:hAnsi="Times New Roman"/>
                <w:b w:val="0"/>
                <w:sz w:val="18"/>
              </w:rPr>
              <w:t>ISO 216:2007</w:t>
            </w:r>
          </w:p>
        </w:tc>
        <w:tc>
          <w:tcPr>
            <w:tcW w:type="dxa" w:w="1872"/>
            <w:vAlign w:val="center"/>
          </w:tcPr>
          <w:p>
            <w:pPr>
              <w:spacing w:after="0"/>
            </w:pPr>
            <w:r/>
            <w:r>
              <w:rPr>
                <w:rFonts w:ascii="Times New Roman" w:hAnsi="Times New Roman"/>
                <w:b w:val="0"/>
                <w:sz w:val="18"/>
              </w:rPr>
              <w:t>0fa0831048c2</w:t>
            </w:r>
          </w:p>
        </w:tc>
      </w:tr>
      <w:tr>
        <w:trPr>
          <w:cantSplit/>
        </w:trPr>
        <w:tc>
          <w:tcPr>
            <w:tcW w:type="dxa" w:w="1872"/>
            <w:vAlign w:val="center"/>
          </w:tcPr>
          <w:p>
            <w:pPr>
              <w:spacing w:after="0"/>
            </w:pPr>
            <w:r/>
            <w:r>
              <w:rPr>
                <w:rFonts w:ascii="Times New Roman" w:hAnsi="Times New Roman"/>
                <w:b w:val="0"/>
                <w:sz w:val="18"/>
              </w:rPr>
              <w:t>BE03</w:t>
            </w:r>
          </w:p>
        </w:tc>
        <w:tc>
          <w:tcPr>
            <w:tcW w:type="dxa" w:w="1872"/>
            <w:vAlign w:val="center"/>
          </w:tcPr>
          <w:p>
            <w:pPr>
              <w:spacing w:after="0"/>
            </w:pPr>
            <w:r/>
            <w:r>
              <w:rPr>
                <w:rFonts w:ascii="Times New Roman" w:hAnsi="Times New Roman"/>
                <w:b w:val="0"/>
                <w:sz w:val="18"/>
              </w:rPr>
              <w:t>SEL-BE03-UCI-PAPER</w:t>
            </w:r>
          </w:p>
        </w:tc>
        <w:tc>
          <w:tcPr>
            <w:tcW w:type="dxa" w:w="1872"/>
            <w:vAlign w:val="center"/>
          </w:tcPr>
          <w:p>
            <w:pPr>
              <w:spacing w:after="0"/>
            </w:pPr>
            <w:r/>
            <w:r>
              <w:rPr>
                <w:rFonts w:ascii="Times New Roman" w:hAnsi="Times New Roman"/>
                <w:b w:val="0"/>
                <w:sz w:val="18"/>
              </w:rPr>
              <w:t>Crossref metadata: Accurate occupancy detection of an office room</w:t>
            </w:r>
          </w:p>
        </w:tc>
        <w:tc>
          <w:tcPr>
            <w:tcW w:type="dxa" w:w="1872"/>
            <w:vAlign w:val="center"/>
          </w:tcPr>
          <w:p>
            <w:pPr>
              <w:spacing w:after="0"/>
            </w:pPr>
            <w:r/>
            <w:r>
              <w:rPr>
                <w:rFonts w:ascii="Times New Roman" w:hAnsi="Times New Roman"/>
                <w:b w:val="0"/>
                <w:sz w:val="18"/>
              </w:rPr>
              <w:t>10.1016/j.enbuild.2015.11.071</w:t>
            </w:r>
          </w:p>
        </w:tc>
        <w:tc>
          <w:tcPr>
            <w:tcW w:type="dxa" w:w="1872"/>
            <w:vAlign w:val="center"/>
          </w:tcPr>
          <w:p>
            <w:pPr>
              <w:spacing w:after="0"/>
            </w:pPr>
            <w:r/>
            <w:r>
              <w:rPr>
                <w:rFonts w:ascii="Times New Roman" w:hAnsi="Times New Roman"/>
                <w:b w:val="0"/>
                <w:sz w:val="18"/>
              </w:rPr>
              <w:t>b1f62383e89c</w:t>
            </w:r>
          </w:p>
        </w:tc>
      </w:tr>
      <w:tr>
        <w:trPr>
          <w:cantSplit/>
        </w:trPr>
        <w:tc>
          <w:tcPr>
            <w:tcW w:type="dxa" w:w="1872"/>
            <w:vAlign w:val="center"/>
          </w:tcPr>
          <w:p>
            <w:pPr>
              <w:spacing w:after="0"/>
            </w:pPr>
            <w:r/>
            <w:r>
              <w:rPr>
                <w:rFonts w:ascii="Times New Roman" w:hAnsi="Times New Roman"/>
                <w:b w:val="0"/>
                <w:sz w:val="18"/>
              </w:rPr>
              <w:t>BE03</w:t>
            </w:r>
          </w:p>
        </w:tc>
        <w:tc>
          <w:tcPr>
            <w:tcW w:type="dxa" w:w="1872"/>
            <w:vAlign w:val="center"/>
          </w:tcPr>
          <w:p>
            <w:pPr>
              <w:spacing w:after="0"/>
            </w:pPr>
            <w:r/>
            <w:r>
              <w:rPr>
                <w:rFonts w:ascii="Times New Roman" w:hAnsi="Times New Roman"/>
                <w:b w:val="0"/>
                <w:sz w:val="18"/>
              </w:rPr>
              <w:t>SEL-BE03-DOE-SCHEDULES</w:t>
            </w:r>
          </w:p>
        </w:tc>
        <w:tc>
          <w:tcPr>
            <w:tcW w:type="dxa" w:w="1872"/>
            <w:vAlign w:val="center"/>
          </w:tcPr>
          <w:p>
            <w:pPr>
              <w:spacing w:after="0"/>
            </w:pPr>
            <w:r/>
            <w:r>
              <w:rPr>
                <w:rFonts w:ascii="Times New Roman" w:hAnsi="Times New Roman"/>
                <w:b w:val="0"/>
                <w:sz w:val="18"/>
              </w:rPr>
              <w:t>DOE Commercial Building Energy Asset Score assumptions</w:t>
            </w:r>
          </w:p>
        </w:tc>
        <w:tc>
          <w:tcPr>
            <w:tcW w:type="dxa" w:w="1872"/>
            <w:vAlign w:val="center"/>
          </w:tcPr>
          <w:p>
            <w:pPr>
              <w:spacing w:after="0"/>
            </w:pPr>
            <w:r/>
            <w:r>
              <w:rPr>
                <w:rFonts w:ascii="Times New Roman" w:hAnsi="Times New Roman"/>
                <w:b w:val="0"/>
                <w:sz w:val="18"/>
              </w:rPr>
              <w:t>Energy Asset Score assumptions document</w:t>
            </w:r>
          </w:p>
        </w:tc>
        <w:tc>
          <w:tcPr>
            <w:tcW w:type="dxa" w:w="1872"/>
            <w:vAlign w:val="center"/>
          </w:tcPr>
          <w:p>
            <w:pPr>
              <w:spacing w:after="0"/>
            </w:pPr>
            <w:r/>
            <w:r>
              <w:rPr>
                <w:rFonts w:ascii="Times New Roman" w:hAnsi="Times New Roman"/>
                <w:b w:val="0"/>
                <w:sz w:val="18"/>
              </w:rPr>
              <w:t>ffcd5b637bb8</w:t>
            </w:r>
          </w:p>
        </w:tc>
      </w:tr>
      <w:tr>
        <w:trPr>
          <w:cantSplit/>
        </w:trPr>
        <w:tc>
          <w:tcPr>
            <w:tcW w:type="dxa" w:w="1872"/>
            <w:vAlign w:val="center"/>
          </w:tcPr>
          <w:p>
            <w:pPr>
              <w:spacing w:after="0"/>
            </w:pPr>
            <w:r/>
            <w:r>
              <w:rPr>
                <w:rFonts w:ascii="Times New Roman" w:hAnsi="Times New Roman"/>
                <w:b w:val="0"/>
                <w:sz w:val="18"/>
              </w:rPr>
              <w:t>WK07</w:t>
            </w:r>
          </w:p>
        </w:tc>
        <w:tc>
          <w:tcPr>
            <w:tcW w:type="dxa" w:w="1872"/>
            <w:vAlign w:val="center"/>
          </w:tcPr>
          <w:p>
            <w:pPr>
              <w:spacing w:after="0"/>
            </w:pPr>
            <w:r/>
            <w:r>
              <w:rPr>
                <w:rFonts w:ascii="Times New Roman" w:hAnsi="Times New Roman"/>
                <w:b w:val="0"/>
                <w:sz w:val="18"/>
              </w:rPr>
              <w:t>SEL-WK07-NASA-PBM</w:t>
            </w:r>
          </w:p>
        </w:tc>
        <w:tc>
          <w:tcPr>
            <w:tcW w:type="dxa" w:w="1872"/>
            <w:vAlign w:val="center"/>
          </w:tcPr>
          <w:p>
            <w:pPr>
              <w:spacing w:after="0"/>
            </w:pPr>
            <w:r/>
            <w:r>
              <w:rPr>
                <w:rFonts w:ascii="Times New Roman" w:hAnsi="Times New Roman"/>
                <w:b w:val="0"/>
                <w:sz w:val="18"/>
              </w:rPr>
              <w:t>Developing Deep Learning Models for System Prognostics</w:t>
            </w:r>
          </w:p>
        </w:tc>
        <w:tc>
          <w:tcPr>
            <w:tcW w:type="dxa" w:w="1872"/>
            <w:vAlign w:val="center"/>
          </w:tcPr>
          <w:p>
            <w:pPr>
              <w:spacing w:after="0"/>
            </w:pPr>
            <w:r/>
            <w:r>
              <w:rPr>
                <w:rFonts w:ascii="Times New Roman" w:hAnsi="Times New Roman"/>
                <w:b w:val="0"/>
                <w:sz w:val="18"/>
              </w:rPr>
              <w:t>NASA NTRS 20220009583</w:t>
            </w:r>
          </w:p>
        </w:tc>
        <w:tc>
          <w:tcPr>
            <w:tcW w:type="dxa" w:w="1872"/>
            <w:vAlign w:val="center"/>
          </w:tcPr>
          <w:p>
            <w:pPr>
              <w:spacing w:after="0"/>
            </w:pPr>
            <w:r/>
            <w:r>
              <w:rPr>
                <w:rFonts w:ascii="Times New Roman" w:hAnsi="Times New Roman"/>
                <w:b w:val="0"/>
                <w:sz w:val="18"/>
              </w:rPr>
              <w:t>ab4da4fcc6bb</w:t>
            </w:r>
          </w:p>
        </w:tc>
      </w:tr>
      <w:tr>
        <w:trPr>
          <w:cantSplit/>
        </w:trPr>
        <w:tc>
          <w:tcPr>
            <w:tcW w:type="dxa" w:w="1872"/>
            <w:vAlign w:val="center"/>
          </w:tcPr>
          <w:p>
            <w:pPr>
              <w:spacing w:after="0"/>
            </w:pPr>
            <w:r/>
            <w:r>
              <w:rPr>
                <w:rFonts w:ascii="Times New Roman" w:hAnsi="Times New Roman"/>
                <w:b w:val="0"/>
                <w:sz w:val="18"/>
              </w:rPr>
              <w:t>UI09</w:t>
            </w:r>
          </w:p>
        </w:tc>
        <w:tc>
          <w:tcPr>
            <w:tcW w:type="dxa" w:w="1872"/>
            <w:vAlign w:val="center"/>
          </w:tcPr>
          <w:p>
            <w:pPr>
              <w:spacing w:after="0"/>
            </w:pPr>
            <w:r/>
            <w:r>
              <w:rPr>
                <w:rFonts w:ascii="Times New Roman" w:hAnsi="Times New Roman"/>
                <w:b w:val="0"/>
                <w:sz w:val="18"/>
              </w:rPr>
              <w:t>SEL-UI09-SENSOR-REVIEW</w:t>
            </w:r>
          </w:p>
        </w:tc>
        <w:tc>
          <w:tcPr>
            <w:tcW w:type="dxa" w:w="1872"/>
            <w:vAlign w:val="center"/>
          </w:tcPr>
          <w:p>
            <w:pPr>
              <w:spacing w:after="0"/>
            </w:pPr>
            <w:r/>
            <w:r>
              <w:rPr>
                <w:rFonts w:ascii="Times New Roman" w:hAnsi="Times New Roman"/>
                <w:b w:val="0"/>
                <w:sz w:val="18"/>
              </w:rPr>
              <w:t>Crossref metadata: Soil water sensors for irrigation scheduling in the United States</w:t>
            </w:r>
          </w:p>
        </w:tc>
        <w:tc>
          <w:tcPr>
            <w:tcW w:type="dxa" w:w="1872"/>
            <w:vAlign w:val="center"/>
          </w:tcPr>
          <w:p>
            <w:pPr>
              <w:spacing w:after="0"/>
            </w:pPr>
            <w:r/>
            <w:r>
              <w:rPr>
                <w:rFonts w:ascii="Times New Roman" w:hAnsi="Times New Roman"/>
                <w:b w:val="0"/>
                <w:sz w:val="18"/>
              </w:rPr>
              <w:t>10.1016/j.agwat.2023.108148</w:t>
            </w:r>
          </w:p>
        </w:tc>
        <w:tc>
          <w:tcPr>
            <w:tcW w:type="dxa" w:w="1872"/>
            <w:vAlign w:val="center"/>
          </w:tcPr>
          <w:p>
            <w:pPr>
              <w:spacing w:after="0"/>
            </w:pPr>
            <w:r/>
            <w:r>
              <w:rPr>
                <w:rFonts w:ascii="Times New Roman" w:hAnsi="Times New Roman"/>
                <w:b w:val="0"/>
                <w:sz w:val="18"/>
              </w:rPr>
              <w:t>e618a518064e</w:t>
            </w:r>
          </w:p>
        </w:tc>
      </w:tr>
      <w:tr>
        <w:trPr>
          <w:cantSplit/>
        </w:trPr>
        <w:tc>
          <w:tcPr>
            <w:tcW w:type="dxa" w:w="1872"/>
            <w:vAlign w:val="center"/>
          </w:tcPr>
          <w:p>
            <w:pPr>
              <w:spacing w:after="0"/>
            </w:pPr>
            <w:r/>
            <w:r>
              <w:rPr>
                <w:rFonts w:ascii="Times New Roman" w:hAnsi="Times New Roman"/>
                <w:b w:val="0"/>
                <w:sz w:val="18"/>
              </w:rPr>
              <w:t>NC03</w:t>
            </w:r>
          </w:p>
        </w:tc>
        <w:tc>
          <w:tcPr>
            <w:tcW w:type="dxa" w:w="1872"/>
            <w:vAlign w:val="center"/>
          </w:tcPr>
          <w:p>
            <w:pPr>
              <w:spacing w:after="0"/>
            </w:pPr>
            <w:r/>
            <w:r>
              <w:rPr>
                <w:rFonts w:ascii="Times New Roman" w:hAnsi="Times New Roman"/>
                <w:b w:val="0"/>
                <w:sz w:val="18"/>
              </w:rPr>
              <w:t>AN-NC03-ISO216-SAMPLE</w:t>
            </w:r>
          </w:p>
        </w:tc>
        <w:tc>
          <w:tcPr>
            <w:tcW w:type="dxa" w:w="1872"/>
            <w:vAlign w:val="center"/>
          </w:tcPr>
          <w:p>
            <w:pPr>
              <w:spacing w:after="0"/>
            </w:pPr>
            <w:r/>
            <w:r>
              <w:rPr>
                <w:rFonts w:ascii="Times New Roman" w:hAnsi="Times New Roman"/>
                <w:b w:val="0"/>
                <w:sz w:val="18"/>
              </w:rPr>
              <w:t>ISO 216:2007 sample pages including the halving and similarity principles</w:t>
            </w:r>
          </w:p>
        </w:tc>
        <w:tc>
          <w:tcPr>
            <w:tcW w:type="dxa" w:w="1872"/>
            <w:vAlign w:val="center"/>
          </w:tcPr>
          <w:p>
            <w:pPr>
              <w:spacing w:after="0"/>
            </w:pPr>
            <w:r/>
            <w:r>
              <w:rPr>
                <w:rFonts w:ascii="Times New Roman" w:hAnsi="Times New Roman"/>
                <w:b w:val="0"/>
                <w:sz w:val="18"/>
              </w:rPr>
              <w:t>ISO 216:2007 sample 36631</w:t>
            </w:r>
          </w:p>
        </w:tc>
        <w:tc>
          <w:tcPr>
            <w:tcW w:type="dxa" w:w="1872"/>
            <w:vAlign w:val="center"/>
          </w:tcPr>
          <w:p>
            <w:pPr>
              <w:spacing w:after="0"/>
            </w:pPr>
            <w:r/>
            <w:r>
              <w:rPr>
                <w:rFonts w:ascii="Times New Roman" w:hAnsi="Times New Roman"/>
                <w:b w:val="0"/>
                <w:sz w:val="18"/>
              </w:rPr>
              <w:t>edf66d45765b</w:t>
            </w:r>
          </w:p>
        </w:tc>
      </w:tr>
    </w:tbl>
    <w:p/>
    <w:p>
      <w:pPr>
        <w:pStyle w:val="Heading1"/>
      </w:pPr>
      <w:r>
        <w:t>S3. Detailed analytical rules</w:t>
      </w:r>
    </w:p>
    <w:p>
      <w:r>
        <w:t>BE03. The UCI CSV is parsed row-wise. Two embedded header rows fail timestamp and occupancy conversion and are removed from the processed analysis table; the raw file is not altered. Fixed schedules are evaluated at 06:00–20:00, 07:00–19:00, and 08:00–18:00. The adaptive policy is an oracle rolling occupancy indicator with the configured hold.</w:t>
      </w:r>
    </w:p>
    <w:p>
      <w:r>
        <w:t>WK07. Training lifetime is the maximum observed cycle for each FD001 training unit. Evaluation lifetime is maximum observed test cycle plus the supplied remaining useful life. A renewal cost rate selects fixed replacement age in the training simulation. The comparator replaces each evaluation unit a configured number of cycles before failure with perfect information.</w:t>
      </w:r>
    </w:p>
    <w:p>
      <w:r>
        <w:t>UI01. Germany-Luxembourg hourly load and day-ahead prices are retained only for complete 24-hour UTC days. Flexible energy is shifted within each day, bounded symmetrically by the configured fraction of observed hourly load, while daily energy is conserved. The procedure holds prices fixed and is not a retail-tariff response model.</w:t>
      </w:r>
    </w:p>
    <w:p>
      <w:r>
        <w:t>UI09. Daily FAO-56 reference evapotranspiration is calculated from NASA POWER temperature, humidity, wind, radiation, precipitation, latitude, and elevation. Shortwave radiation is converted from kWh m−2 day−1 to MJ m−2 day−1 before the FAO-56 calculation. Weekly net requirement is non-negative evapotranspiration minus precipitation. The calendar rule uses the training-period median; sensitivity also uses the mean and multiple shortfall penalties. Each bootstrap block is wholly contained within one annual growing season and cannot cross the excluded winter gap.</w:t>
      </w:r>
    </w:p>
    <w:p>
      <w:r>
        <w:t>TR01. The deterministic segment rule selects the segment with the greatest number of days having both NB/SB or EB/WB observations, with segment identifier as the tie-breaker. Training estimates a fixed directional allocation. Evaluation compares it with hourly demand-proportional allocation using a convex saturation-delay proxy. This is not a deployed signal model.</w:t>
      </w:r>
    </w:p>
    <w:p>
      <w:pPr>
        <w:pStyle w:val="Heading1"/>
      </w:pPr>
      <w:r>
        <w:t>S4. Model sensitivity</w:t>
      </w:r>
    </w:p>
    <w:p>
      <w:pPr>
        <w:jc w:val="left"/>
      </w:pPr>
      <w:r>
        <w:rPr>
          <w:b/>
        </w:rPr>
        <w:t>Table S1. Pre-specified model sensitivity.</w:t>
      </w:r>
    </w:p>
    <w:tbl>
      <w:tblPr>
        <w:tblStyle w:val="TableGrid"/>
        <w:tblW w:type="auto" w:w="0"/>
        <w:tblLayout w:type="autofit"/>
        <w:tblLook w:firstColumn="1" w:firstRow="1" w:lastColumn="0" w:lastRow="0" w:noHBand="0" w:noVBand="1" w:val="04A0"/>
      </w:tblPr>
      <w:tblGrid>
        <w:gridCol w:w="2340"/>
        <w:gridCol w:w="2340"/>
        <w:gridCol w:w="2340"/>
        <w:gridCol w:w="2340"/>
      </w:tblGrid>
      <w:tr>
        <w:trPr>
          <w:tblHeader/>
          <w:cantSplit/>
        </w:trPr>
        <w:tc>
          <w:tcPr>
            <w:tcW w:type="dxa" w:w="2340"/>
            <w:vAlign w:val="center"/>
            <w:shd w:fill="D9EAF7"/>
          </w:tcPr>
          <w:p>
            <w:pPr>
              <w:spacing w:after="0"/>
            </w:pPr>
            <w:r/>
            <w:r>
              <w:rPr>
                <w:rFonts w:ascii="Times New Roman" w:hAnsi="Times New Roman"/>
                <w:b/>
                <w:sz w:val="18"/>
              </w:rPr>
              <w:t>Case</w:t>
            </w:r>
          </w:p>
        </w:tc>
        <w:tc>
          <w:tcPr>
            <w:tcW w:type="dxa" w:w="2340"/>
            <w:vAlign w:val="center"/>
            <w:shd w:fill="D9EAF7"/>
          </w:tcPr>
          <w:p>
            <w:pPr>
              <w:spacing w:after="0"/>
            </w:pPr>
            <w:r/>
            <w:r>
              <w:rPr>
                <w:rFonts w:ascii="Times New Roman" w:hAnsi="Times New Roman"/>
                <w:b/>
                <w:sz w:val="18"/>
              </w:rPr>
              <w:t>Setting</w:t>
            </w:r>
          </w:p>
        </w:tc>
        <w:tc>
          <w:tcPr>
            <w:tcW w:type="dxa" w:w="2340"/>
            <w:vAlign w:val="center"/>
            <w:shd w:fill="D9EAF7"/>
          </w:tcPr>
          <w:p>
            <w:pPr>
              <w:spacing w:after="0"/>
            </w:pPr>
            <w:r/>
            <w:r>
              <w:rPr>
                <w:rFonts w:ascii="Times New Roman" w:hAnsi="Times New Roman"/>
                <w:b/>
                <w:sz w:val="18"/>
              </w:rPr>
              <w:t>Estimate</w:t>
            </w:r>
          </w:p>
        </w:tc>
        <w:tc>
          <w:tcPr>
            <w:tcW w:type="dxa" w:w="2340"/>
            <w:vAlign w:val="center"/>
            <w:shd w:fill="D9EAF7"/>
          </w:tcPr>
          <w:p>
            <w:pPr>
              <w:spacing w:after="0"/>
            </w:pPr>
            <w:r/>
            <w:r>
              <w:rPr>
                <w:rFonts w:ascii="Times New Roman" w:hAnsi="Times New Roman"/>
                <w:b/>
                <w:sz w:val="18"/>
              </w:rPr>
              <w:t>Unit</w:t>
            </w:r>
          </w:p>
        </w:tc>
      </w:tr>
      <w:tr>
        <w:trPr>
          <w:cantSplit/>
        </w:trPr>
        <w:tc>
          <w:tcPr>
            <w:tcW w:type="dxa" w:w="2340"/>
            <w:vAlign w:val="center"/>
          </w:tcPr>
          <w:p>
            <w:pPr>
              <w:spacing w:after="0"/>
            </w:pPr>
            <w:r/>
            <w:r>
              <w:rPr>
                <w:rFonts w:ascii="Times New Roman" w:hAnsi="Times New Roman"/>
                <w:b w:val="0"/>
                <w:sz w:val="18"/>
              </w:rPr>
              <w:t>BE03</w:t>
            </w:r>
          </w:p>
        </w:tc>
        <w:tc>
          <w:tcPr>
            <w:tcW w:type="dxa" w:w="2340"/>
            <w:vAlign w:val="center"/>
          </w:tcPr>
          <w:p>
            <w:pPr>
              <w:spacing w:after="0"/>
            </w:pPr>
            <w:r/>
            <w:r>
              <w:rPr>
                <w:rFonts w:ascii="Times New Roman" w:hAnsi="Times New Roman"/>
                <w:b w:val="0"/>
                <w:sz w:val="18"/>
              </w:rPr>
              <w:t>fixed_schedule_hours: 08:00-18:00</w:t>
            </w:r>
          </w:p>
        </w:tc>
        <w:tc>
          <w:tcPr>
            <w:tcW w:type="dxa" w:w="2340"/>
            <w:vAlign w:val="center"/>
          </w:tcPr>
          <w:p>
            <w:pPr>
              <w:spacing w:after="0"/>
            </w:pPr>
            <w:r/>
            <w:r>
              <w:rPr>
                <w:rFonts w:ascii="Times New Roman" w:hAnsi="Times New Roman"/>
                <w:b w:val="0"/>
                <w:sz w:val="18"/>
              </w:rPr>
              <w:t>0.0783925</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BE03</w:t>
            </w:r>
          </w:p>
        </w:tc>
        <w:tc>
          <w:tcPr>
            <w:tcW w:type="dxa" w:w="2340"/>
            <w:vAlign w:val="center"/>
          </w:tcPr>
          <w:p>
            <w:pPr>
              <w:spacing w:after="0"/>
            </w:pPr>
            <w:r/>
            <w:r>
              <w:rPr>
                <w:rFonts w:ascii="Times New Roman" w:hAnsi="Times New Roman"/>
                <w:b w:val="0"/>
                <w:sz w:val="18"/>
              </w:rPr>
              <w:t>fixed_schedule_hours: 07:00-19:00</w:t>
            </w:r>
          </w:p>
        </w:tc>
        <w:tc>
          <w:tcPr>
            <w:tcW w:type="dxa" w:w="2340"/>
            <w:vAlign w:val="center"/>
          </w:tcPr>
          <w:p>
            <w:pPr>
              <w:spacing w:after="0"/>
            </w:pPr>
            <w:r/>
            <w:r>
              <w:rPr>
                <w:rFonts w:ascii="Times New Roman" w:hAnsi="Times New Roman"/>
                <w:b w:val="0"/>
                <w:sz w:val="18"/>
              </w:rPr>
              <w:t>0.256686</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BE03</w:t>
            </w:r>
          </w:p>
        </w:tc>
        <w:tc>
          <w:tcPr>
            <w:tcW w:type="dxa" w:w="2340"/>
            <w:vAlign w:val="center"/>
          </w:tcPr>
          <w:p>
            <w:pPr>
              <w:spacing w:after="0"/>
            </w:pPr>
            <w:r/>
            <w:r>
              <w:rPr>
                <w:rFonts w:ascii="Times New Roman" w:hAnsi="Times New Roman"/>
                <w:b w:val="0"/>
                <w:sz w:val="18"/>
              </w:rPr>
              <w:t>fixed_schedule_hours: 06:00-20:00</w:t>
            </w:r>
          </w:p>
        </w:tc>
        <w:tc>
          <w:tcPr>
            <w:tcW w:type="dxa" w:w="2340"/>
            <w:vAlign w:val="center"/>
          </w:tcPr>
          <w:p>
            <w:pPr>
              <w:spacing w:after="0"/>
            </w:pPr>
            <w:r/>
            <w:r>
              <w:rPr>
                <w:rFonts w:ascii="Times New Roman" w:hAnsi="Times New Roman"/>
                <w:b w:val="0"/>
                <w:sz w:val="18"/>
              </w:rPr>
              <w:t>0.377177</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cost=2;lead=1</w:t>
            </w:r>
          </w:p>
        </w:tc>
        <w:tc>
          <w:tcPr>
            <w:tcW w:type="dxa" w:w="2340"/>
            <w:vAlign w:val="center"/>
          </w:tcPr>
          <w:p>
            <w:pPr>
              <w:spacing w:after="0"/>
            </w:pPr>
            <w:r/>
            <w:r>
              <w:rPr>
                <w:rFonts w:ascii="Times New Roman" w:hAnsi="Times New Roman"/>
                <w:b w:val="0"/>
                <w:sz w:val="18"/>
              </w:rPr>
              <w:t>0.00232759</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cost=2;lead=5</w:t>
            </w:r>
          </w:p>
        </w:tc>
        <w:tc>
          <w:tcPr>
            <w:tcW w:type="dxa" w:w="2340"/>
            <w:vAlign w:val="center"/>
          </w:tcPr>
          <w:p>
            <w:pPr>
              <w:spacing w:after="0"/>
            </w:pPr>
            <w:r/>
            <w:r>
              <w:rPr>
                <w:rFonts w:ascii="Times New Roman" w:hAnsi="Times New Roman"/>
                <w:b w:val="0"/>
                <w:sz w:val="18"/>
              </w:rPr>
              <w:t>0.00223097</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cost=2;lead=10</w:t>
            </w:r>
          </w:p>
        </w:tc>
        <w:tc>
          <w:tcPr>
            <w:tcW w:type="dxa" w:w="2340"/>
            <w:vAlign w:val="center"/>
          </w:tcPr>
          <w:p>
            <w:pPr>
              <w:spacing w:after="0"/>
            </w:pPr>
            <w:r/>
            <w:r>
              <w:rPr>
                <w:rFonts w:ascii="Times New Roman" w:hAnsi="Times New Roman"/>
                <w:b w:val="0"/>
                <w:sz w:val="18"/>
              </w:rPr>
              <w:t>0.00210467</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cost=5;lead=1</w:t>
            </w:r>
          </w:p>
        </w:tc>
        <w:tc>
          <w:tcPr>
            <w:tcW w:type="dxa" w:w="2340"/>
            <w:vAlign w:val="center"/>
          </w:tcPr>
          <w:p>
            <w:pPr>
              <w:spacing w:after="0"/>
            </w:pPr>
            <w:r/>
            <w:r>
              <w:rPr>
                <w:rFonts w:ascii="Times New Roman" w:hAnsi="Times New Roman"/>
                <w:b w:val="0"/>
                <w:sz w:val="18"/>
              </w:rPr>
              <w:t>0.00259603</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cost=5;lead=5</w:t>
            </w:r>
          </w:p>
        </w:tc>
        <w:tc>
          <w:tcPr>
            <w:tcW w:type="dxa" w:w="2340"/>
            <w:vAlign w:val="center"/>
          </w:tcPr>
          <w:p>
            <w:pPr>
              <w:spacing w:after="0"/>
            </w:pPr>
            <w:r/>
            <w:r>
              <w:rPr>
                <w:rFonts w:ascii="Times New Roman" w:hAnsi="Times New Roman"/>
                <w:b w:val="0"/>
                <w:sz w:val="18"/>
              </w:rPr>
              <w:t>0.00249941</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cost=5;lead=10</w:t>
            </w:r>
          </w:p>
        </w:tc>
        <w:tc>
          <w:tcPr>
            <w:tcW w:type="dxa" w:w="2340"/>
            <w:vAlign w:val="center"/>
          </w:tcPr>
          <w:p>
            <w:pPr>
              <w:spacing w:after="0"/>
            </w:pPr>
            <w:r/>
            <w:r>
              <w:rPr>
                <w:rFonts w:ascii="Times New Roman" w:hAnsi="Times New Roman"/>
                <w:b w:val="0"/>
                <w:sz w:val="18"/>
              </w:rPr>
              <w:t>0.00237311</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cost=10;lead=1</w:t>
            </w:r>
          </w:p>
        </w:tc>
        <w:tc>
          <w:tcPr>
            <w:tcW w:type="dxa" w:w="2340"/>
            <w:vAlign w:val="center"/>
          </w:tcPr>
          <w:p>
            <w:pPr>
              <w:spacing w:after="0"/>
            </w:pPr>
            <w:r/>
            <w:r>
              <w:rPr>
                <w:rFonts w:ascii="Times New Roman" w:hAnsi="Times New Roman"/>
                <w:b w:val="0"/>
                <w:sz w:val="18"/>
              </w:rPr>
              <w:t>0.00300736</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cost=10;lead=5</w:t>
            </w:r>
          </w:p>
        </w:tc>
        <w:tc>
          <w:tcPr>
            <w:tcW w:type="dxa" w:w="2340"/>
            <w:vAlign w:val="center"/>
          </w:tcPr>
          <w:p>
            <w:pPr>
              <w:spacing w:after="0"/>
            </w:pPr>
            <w:r/>
            <w:r>
              <w:rPr>
                <w:rFonts w:ascii="Times New Roman" w:hAnsi="Times New Roman"/>
                <w:b w:val="0"/>
                <w:sz w:val="18"/>
              </w:rPr>
              <w:t>0.00291074</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cost=10;lead=10</w:t>
            </w:r>
          </w:p>
        </w:tc>
        <w:tc>
          <w:tcPr>
            <w:tcW w:type="dxa" w:w="2340"/>
            <w:vAlign w:val="center"/>
          </w:tcPr>
          <w:p>
            <w:pPr>
              <w:spacing w:after="0"/>
            </w:pPr>
            <w:r/>
            <w:r>
              <w:rPr>
                <w:rFonts w:ascii="Times New Roman" w:hAnsi="Times New Roman"/>
                <w:b w:val="0"/>
                <w:sz w:val="18"/>
              </w:rPr>
              <w:t>0.00278444</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cost=20;lead=1</w:t>
            </w:r>
          </w:p>
        </w:tc>
        <w:tc>
          <w:tcPr>
            <w:tcW w:type="dxa" w:w="2340"/>
            <w:vAlign w:val="center"/>
          </w:tcPr>
          <w:p>
            <w:pPr>
              <w:spacing w:after="0"/>
            </w:pPr>
            <w:r/>
            <w:r>
              <w:rPr>
                <w:rFonts w:ascii="Times New Roman" w:hAnsi="Times New Roman"/>
                <w:b w:val="0"/>
                <w:sz w:val="18"/>
              </w:rPr>
              <w:t>0.00300736</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cost=20;lead=5</w:t>
            </w:r>
          </w:p>
        </w:tc>
        <w:tc>
          <w:tcPr>
            <w:tcW w:type="dxa" w:w="2340"/>
            <w:vAlign w:val="center"/>
          </w:tcPr>
          <w:p>
            <w:pPr>
              <w:spacing w:after="0"/>
            </w:pPr>
            <w:r/>
            <w:r>
              <w:rPr>
                <w:rFonts w:ascii="Times New Roman" w:hAnsi="Times New Roman"/>
                <w:b w:val="0"/>
                <w:sz w:val="18"/>
              </w:rPr>
              <w:t>0.00291074</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WK07</w:t>
            </w:r>
          </w:p>
        </w:tc>
        <w:tc>
          <w:tcPr>
            <w:tcW w:type="dxa" w:w="2340"/>
            <w:vAlign w:val="center"/>
          </w:tcPr>
          <w:p>
            <w:pPr>
              <w:spacing w:after="0"/>
            </w:pPr>
            <w:r/>
            <w:r>
              <w:rPr>
                <w:rFonts w:ascii="Times New Roman" w:hAnsi="Times New Roman"/>
                <w:b w:val="0"/>
                <w:sz w:val="18"/>
              </w:rPr>
              <w:t>failure_cost_ratio_and_lead: cost=20;lead=10</w:t>
            </w:r>
          </w:p>
        </w:tc>
        <w:tc>
          <w:tcPr>
            <w:tcW w:type="dxa" w:w="2340"/>
            <w:vAlign w:val="center"/>
          </w:tcPr>
          <w:p>
            <w:pPr>
              <w:spacing w:after="0"/>
            </w:pPr>
            <w:r/>
            <w:r>
              <w:rPr>
                <w:rFonts w:ascii="Times New Roman" w:hAnsi="Times New Roman"/>
                <w:b w:val="0"/>
                <w:sz w:val="18"/>
              </w:rPr>
              <w:t>0.00278444</w:t>
            </w:r>
          </w:p>
        </w:tc>
        <w:tc>
          <w:tcPr>
            <w:tcW w:type="dxa" w:w="2340"/>
            <w:vAlign w:val="center"/>
          </w:tcPr>
          <w:p>
            <w:pPr>
              <w:spacing w:after="0"/>
            </w:pPr>
            <w:r/>
            <w:r>
              <w:rPr>
                <w:rFonts w:ascii="Times New Roman" w:hAnsi="Times New Roman"/>
                <w:b w:val="0"/>
                <w:sz w:val="18"/>
              </w:rPr>
              <w:t>normalized cost per cycle</w:t>
            </w:r>
          </w:p>
        </w:tc>
      </w:tr>
      <w:tr>
        <w:trPr>
          <w:cantSplit/>
        </w:trPr>
        <w:tc>
          <w:tcPr>
            <w:tcW w:type="dxa" w:w="2340"/>
            <w:vAlign w:val="center"/>
          </w:tcPr>
          <w:p>
            <w:pPr>
              <w:spacing w:after="0"/>
            </w:pPr>
            <w:r/>
            <w:r>
              <w:rPr>
                <w:rFonts w:ascii="Times New Roman" w:hAnsi="Times New Roman"/>
                <w:b w:val="0"/>
                <w:sz w:val="18"/>
              </w:rPr>
              <w:t>UI01</w:t>
            </w:r>
          </w:p>
        </w:tc>
        <w:tc>
          <w:tcPr>
            <w:tcW w:type="dxa" w:w="2340"/>
            <w:vAlign w:val="center"/>
          </w:tcPr>
          <w:p>
            <w:pPr>
              <w:spacing w:after="0"/>
            </w:pPr>
            <w:r/>
            <w:r>
              <w:rPr>
                <w:rFonts w:ascii="Times New Roman" w:hAnsi="Times New Roman"/>
                <w:b w:val="0"/>
                <w:sz w:val="18"/>
              </w:rPr>
              <w:t>flexible_load_fraction: 0.005</w:t>
            </w:r>
          </w:p>
        </w:tc>
        <w:tc>
          <w:tcPr>
            <w:tcW w:type="dxa" w:w="2340"/>
            <w:vAlign w:val="center"/>
          </w:tcPr>
          <w:p>
            <w:pPr>
              <w:spacing w:after="0"/>
            </w:pPr>
            <w:r/>
            <w:r>
              <w:rPr>
                <w:rFonts w:ascii="Times New Roman" w:hAnsi="Times New Roman"/>
                <w:b w:val="0"/>
                <w:sz w:val="18"/>
              </w:rPr>
              <w:t>0.0359227</w:t>
            </w:r>
          </w:p>
        </w:tc>
        <w:tc>
          <w:tcPr>
            <w:tcW w:type="dxa" w:w="2340"/>
            <w:vAlign w:val="center"/>
          </w:tcPr>
          <w:p>
            <w:pPr>
              <w:spacing w:after="0"/>
            </w:pPr>
            <w:r/>
            <w:r>
              <w:rPr>
                <w:rFonts w:ascii="Times New Roman" w:hAnsi="Times New Roman"/>
                <w:b w:val="0"/>
                <w:sz w:val="18"/>
              </w:rPr>
              <w:t>EUR per MWh baseline load</w:t>
            </w:r>
          </w:p>
        </w:tc>
      </w:tr>
      <w:tr>
        <w:trPr>
          <w:cantSplit/>
        </w:trPr>
        <w:tc>
          <w:tcPr>
            <w:tcW w:type="dxa" w:w="2340"/>
            <w:vAlign w:val="center"/>
          </w:tcPr>
          <w:p>
            <w:pPr>
              <w:spacing w:after="0"/>
            </w:pPr>
            <w:r/>
            <w:r>
              <w:rPr>
                <w:rFonts w:ascii="Times New Roman" w:hAnsi="Times New Roman"/>
                <w:b w:val="0"/>
                <w:sz w:val="18"/>
              </w:rPr>
              <w:t>UI01</w:t>
            </w:r>
          </w:p>
        </w:tc>
        <w:tc>
          <w:tcPr>
            <w:tcW w:type="dxa" w:w="2340"/>
            <w:vAlign w:val="center"/>
          </w:tcPr>
          <w:p>
            <w:pPr>
              <w:spacing w:after="0"/>
            </w:pPr>
            <w:r/>
            <w:r>
              <w:rPr>
                <w:rFonts w:ascii="Times New Roman" w:hAnsi="Times New Roman"/>
                <w:b w:val="0"/>
                <w:sz w:val="18"/>
              </w:rPr>
              <w:t>flexible_load_fraction: 0.01</w:t>
            </w:r>
          </w:p>
        </w:tc>
        <w:tc>
          <w:tcPr>
            <w:tcW w:type="dxa" w:w="2340"/>
            <w:vAlign w:val="center"/>
          </w:tcPr>
          <w:p>
            <w:pPr>
              <w:spacing w:after="0"/>
            </w:pPr>
            <w:r/>
            <w:r>
              <w:rPr>
                <w:rFonts w:ascii="Times New Roman" w:hAnsi="Times New Roman"/>
                <w:b w:val="0"/>
                <w:sz w:val="18"/>
              </w:rPr>
              <w:t>0.0718454</w:t>
            </w:r>
          </w:p>
        </w:tc>
        <w:tc>
          <w:tcPr>
            <w:tcW w:type="dxa" w:w="2340"/>
            <w:vAlign w:val="center"/>
          </w:tcPr>
          <w:p>
            <w:pPr>
              <w:spacing w:after="0"/>
            </w:pPr>
            <w:r/>
            <w:r>
              <w:rPr>
                <w:rFonts w:ascii="Times New Roman" w:hAnsi="Times New Roman"/>
                <w:b w:val="0"/>
                <w:sz w:val="18"/>
              </w:rPr>
              <w:t>EUR per MWh baseline load</w:t>
            </w:r>
          </w:p>
        </w:tc>
      </w:tr>
      <w:tr>
        <w:trPr>
          <w:cantSplit/>
        </w:trPr>
        <w:tc>
          <w:tcPr>
            <w:tcW w:type="dxa" w:w="2340"/>
            <w:vAlign w:val="center"/>
          </w:tcPr>
          <w:p>
            <w:pPr>
              <w:spacing w:after="0"/>
            </w:pPr>
            <w:r/>
            <w:r>
              <w:rPr>
                <w:rFonts w:ascii="Times New Roman" w:hAnsi="Times New Roman"/>
                <w:b w:val="0"/>
                <w:sz w:val="18"/>
              </w:rPr>
              <w:t>UI01</w:t>
            </w:r>
          </w:p>
        </w:tc>
        <w:tc>
          <w:tcPr>
            <w:tcW w:type="dxa" w:w="2340"/>
            <w:vAlign w:val="center"/>
          </w:tcPr>
          <w:p>
            <w:pPr>
              <w:spacing w:after="0"/>
            </w:pPr>
            <w:r/>
            <w:r>
              <w:rPr>
                <w:rFonts w:ascii="Times New Roman" w:hAnsi="Times New Roman"/>
                <w:b w:val="0"/>
                <w:sz w:val="18"/>
              </w:rPr>
              <w:t>flexible_load_fraction: 0.05</w:t>
            </w:r>
          </w:p>
        </w:tc>
        <w:tc>
          <w:tcPr>
            <w:tcW w:type="dxa" w:w="2340"/>
            <w:vAlign w:val="center"/>
          </w:tcPr>
          <w:p>
            <w:pPr>
              <w:spacing w:after="0"/>
            </w:pPr>
            <w:r/>
            <w:r>
              <w:rPr>
                <w:rFonts w:ascii="Times New Roman" w:hAnsi="Times New Roman"/>
                <w:b w:val="0"/>
                <w:sz w:val="18"/>
              </w:rPr>
              <w:t>0.359227</w:t>
            </w:r>
          </w:p>
        </w:tc>
        <w:tc>
          <w:tcPr>
            <w:tcW w:type="dxa" w:w="2340"/>
            <w:vAlign w:val="center"/>
          </w:tcPr>
          <w:p>
            <w:pPr>
              <w:spacing w:after="0"/>
            </w:pPr>
            <w:r/>
            <w:r>
              <w:rPr>
                <w:rFonts w:ascii="Times New Roman" w:hAnsi="Times New Roman"/>
                <w:b w:val="0"/>
                <w:sz w:val="18"/>
              </w:rPr>
              <w:t>EUR per MWh baseline load</w:t>
            </w:r>
          </w:p>
        </w:tc>
      </w:tr>
      <w:tr>
        <w:trPr>
          <w:cantSplit/>
        </w:trPr>
        <w:tc>
          <w:tcPr>
            <w:tcW w:type="dxa" w:w="2340"/>
            <w:vAlign w:val="center"/>
          </w:tcPr>
          <w:p>
            <w:pPr>
              <w:spacing w:after="0"/>
            </w:pPr>
            <w:r/>
            <w:r>
              <w:rPr>
                <w:rFonts w:ascii="Times New Roman" w:hAnsi="Times New Roman"/>
                <w:b w:val="0"/>
                <w:sz w:val="18"/>
              </w:rPr>
              <w:t>UI09</w:t>
            </w:r>
          </w:p>
        </w:tc>
        <w:tc>
          <w:tcPr>
            <w:tcW w:type="dxa" w:w="2340"/>
            <w:vAlign w:val="center"/>
          </w:tcPr>
          <w:p>
            <w:pPr>
              <w:spacing w:after="0"/>
            </w:pPr>
            <w:r/>
            <w:r>
              <w:rPr>
                <w:rFonts w:ascii="Times New Roman" w:hAnsi="Times New Roman"/>
                <w:b w:val="0"/>
                <w:sz w:val="18"/>
              </w:rPr>
              <w:t>calendar_estimator_and_shortfall_penalty: median;penalty=2</w:t>
            </w:r>
          </w:p>
        </w:tc>
        <w:tc>
          <w:tcPr>
            <w:tcW w:type="dxa" w:w="2340"/>
            <w:vAlign w:val="center"/>
          </w:tcPr>
          <w:p>
            <w:pPr>
              <w:spacing w:after="0"/>
            </w:pPr>
            <w:r/>
            <w:r>
              <w:rPr>
                <w:rFonts w:ascii="Times New Roman" w:hAnsi="Times New Roman"/>
                <w:b w:val="0"/>
                <w:sz w:val="18"/>
              </w:rPr>
              <w:t>0.188772</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UI09</w:t>
            </w:r>
          </w:p>
        </w:tc>
        <w:tc>
          <w:tcPr>
            <w:tcW w:type="dxa" w:w="2340"/>
            <w:vAlign w:val="center"/>
          </w:tcPr>
          <w:p>
            <w:pPr>
              <w:spacing w:after="0"/>
            </w:pPr>
            <w:r/>
            <w:r>
              <w:rPr>
                <w:rFonts w:ascii="Times New Roman" w:hAnsi="Times New Roman"/>
                <w:b w:val="0"/>
                <w:sz w:val="18"/>
              </w:rPr>
              <w:t>calendar_estimator_and_shortfall_penalty: median;penalty=5</w:t>
            </w:r>
          </w:p>
        </w:tc>
        <w:tc>
          <w:tcPr>
            <w:tcW w:type="dxa" w:w="2340"/>
            <w:vAlign w:val="center"/>
          </w:tcPr>
          <w:p>
            <w:pPr>
              <w:spacing w:after="0"/>
            </w:pPr>
            <w:r/>
            <w:r>
              <w:rPr>
                <w:rFonts w:ascii="Times New Roman" w:hAnsi="Times New Roman"/>
                <w:b w:val="0"/>
                <w:sz w:val="18"/>
              </w:rPr>
              <w:t>0.368698</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UI09</w:t>
            </w:r>
          </w:p>
        </w:tc>
        <w:tc>
          <w:tcPr>
            <w:tcW w:type="dxa" w:w="2340"/>
            <w:vAlign w:val="center"/>
          </w:tcPr>
          <w:p>
            <w:pPr>
              <w:spacing w:after="0"/>
            </w:pPr>
            <w:r/>
            <w:r>
              <w:rPr>
                <w:rFonts w:ascii="Times New Roman" w:hAnsi="Times New Roman"/>
                <w:b w:val="0"/>
                <w:sz w:val="18"/>
              </w:rPr>
              <w:t>calendar_estimator_and_shortfall_penalty: median;penalty=10</w:t>
            </w:r>
          </w:p>
        </w:tc>
        <w:tc>
          <w:tcPr>
            <w:tcW w:type="dxa" w:w="2340"/>
            <w:vAlign w:val="center"/>
          </w:tcPr>
          <w:p>
            <w:pPr>
              <w:spacing w:after="0"/>
            </w:pPr>
            <w:r/>
            <w:r>
              <w:rPr>
                <w:rFonts w:ascii="Times New Roman" w:hAnsi="Times New Roman"/>
                <w:b w:val="0"/>
                <w:sz w:val="18"/>
              </w:rPr>
              <w:t>0.53908</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UI09</w:t>
            </w:r>
          </w:p>
        </w:tc>
        <w:tc>
          <w:tcPr>
            <w:tcW w:type="dxa" w:w="2340"/>
            <w:vAlign w:val="center"/>
          </w:tcPr>
          <w:p>
            <w:pPr>
              <w:spacing w:after="0"/>
            </w:pPr>
            <w:r/>
            <w:r>
              <w:rPr>
                <w:rFonts w:ascii="Times New Roman" w:hAnsi="Times New Roman"/>
                <w:b w:val="0"/>
                <w:sz w:val="18"/>
              </w:rPr>
              <w:t>calendar_estimator_and_shortfall_penalty: mean;penalty=2</w:t>
            </w:r>
          </w:p>
        </w:tc>
        <w:tc>
          <w:tcPr>
            <w:tcW w:type="dxa" w:w="2340"/>
            <w:vAlign w:val="center"/>
          </w:tcPr>
          <w:p>
            <w:pPr>
              <w:spacing w:after="0"/>
            </w:pPr>
            <w:r/>
            <w:r>
              <w:rPr>
                <w:rFonts w:ascii="Times New Roman" w:hAnsi="Times New Roman"/>
                <w:b w:val="0"/>
                <w:sz w:val="18"/>
              </w:rPr>
              <w:t>0.195298</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UI09</w:t>
            </w:r>
          </w:p>
        </w:tc>
        <w:tc>
          <w:tcPr>
            <w:tcW w:type="dxa" w:w="2340"/>
            <w:vAlign w:val="center"/>
          </w:tcPr>
          <w:p>
            <w:pPr>
              <w:spacing w:after="0"/>
            </w:pPr>
            <w:r/>
            <w:r>
              <w:rPr>
                <w:rFonts w:ascii="Times New Roman" w:hAnsi="Times New Roman"/>
                <w:b w:val="0"/>
                <w:sz w:val="18"/>
              </w:rPr>
              <w:t>calendar_estimator_and_shortfall_penalty: mean;penalty=5</w:t>
            </w:r>
          </w:p>
        </w:tc>
        <w:tc>
          <w:tcPr>
            <w:tcW w:type="dxa" w:w="2340"/>
            <w:vAlign w:val="center"/>
          </w:tcPr>
          <w:p>
            <w:pPr>
              <w:spacing w:after="0"/>
            </w:pPr>
            <w:r/>
            <w:r>
              <w:rPr>
                <w:rFonts w:ascii="Times New Roman" w:hAnsi="Times New Roman"/>
                <w:b w:val="0"/>
                <w:sz w:val="18"/>
              </w:rPr>
              <w:t>0.405336</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UI09</w:t>
            </w:r>
          </w:p>
        </w:tc>
        <w:tc>
          <w:tcPr>
            <w:tcW w:type="dxa" w:w="2340"/>
            <w:vAlign w:val="center"/>
          </w:tcPr>
          <w:p>
            <w:pPr>
              <w:spacing w:after="0"/>
            </w:pPr>
            <w:r/>
            <w:r>
              <w:rPr>
                <w:rFonts w:ascii="Times New Roman" w:hAnsi="Times New Roman"/>
                <w:b w:val="0"/>
                <w:sz w:val="18"/>
              </w:rPr>
              <w:t>calendar_estimator_and_shortfall_penalty: mean;penalty=10</w:t>
            </w:r>
          </w:p>
        </w:tc>
        <w:tc>
          <w:tcPr>
            <w:tcW w:type="dxa" w:w="2340"/>
            <w:vAlign w:val="center"/>
          </w:tcPr>
          <w:p>
            <w:pPr>
              <w:spacing w:after="0"/>
            </w:pPr>
            <w:r/>
            <w:r>
              <w:rPr>
                <w:rFonts w:ascii="Times New Roman" w:hAnsi="Times New Roman"/>
                <w:b w:val="0"/>
                <w:sz w:val="18"/>
              </w:rPr>
              <w:t>0.585607</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TR01</w:t>
            </w:r>
          </w:p>
        </w:tc>
        <w:tc>
          <w:tcPr>
            <w:tcW w:type="dxa" w:w="2340"/>
            <w:vAlign w:val="center"/>
          </w:tcPr>
          <w:p>
            <w:pPr>
              <w:spacing w:after="0"/>
            </w:pPr>
            <w:r/>
            <w:r>
              <w:rPr>
                <w:rFonts w:ascii="Times New Roman" w:hAnsi="Times New Roman"/>
                <w:b w:val="0"/>
                <w:sz w:val="18"/>
              </w:rPr>
              <w:t>static_green_share: training_estimate</w:t>
            </w:r>
          </w:p>
        </w:tc>
        <w:tc>
          <w:tcPr>
            <w:tcW w:type="dxa" w:w="2340"/>
            <w:vAlign w:val="center"/>
          </w:tcPr>
          <w:p>
            <w:pPr>
              <w:spacing w:after="0"/>
            </w:pPr>
            <w:r/>
            <w:r>
              <w:rPr>
                <w:rFonts w:ascii="Times New Roman" w:hAnsi="Times New Roman"/>
                <w:b w:val="0"/>
                <w:sz w:val="18"/>
              </w:rPr>
              <w:t>0.272042</w:t>
            </w:r>
          </w:p>
        </w:tc>
        <w:tc>
          <w:tcPr>
            <w:tcW w:type="dxa" w:w="2340"/>
            <w:vAlign w:val="center"/>
          </w:tcPr>
          <w:p>
            <w:pPr>
              <w:spacing w:after="0"/>
            </w:pPr>
            <w:r/>
            <w:r>
              <w:rPr>
                <w:rFonts w:ascii="Times New Roman" w:hAnsi="Times New Roman"/>
                <w:b w:val="0"/>
                <w:sz w:val="18"/>
              </w:rPr>
              <w:t>fraction</w:t>
            </w:r>
          </w:p>
        </w:tc>
      </w:tr>
      <w:tr>
        <w:trPr>
          <w:cantSplit/>
        </w:trPr>
        <w:tc>
          <w:tcPr>
            <w:tcW w:type="dxa" w:w="2340"/>
            <w:vAlign w:val="center"/>
          </w:tcPr>
          <w:p>
            <w:pPr>
              <w:spacing w:after="0"/>
            </w:pPr>
            <w:r/>
            <w:r>
              <w:rPr>
                <w:rFonts w:ascii="Times New Roman" w:hAnsi="Times New Roman"/>
                <w:b w:val="0"/>
                <w:sz w:val="18"/>
              </w:rPr>
              <w:t>NC03</w:t>
            </w:r>
          </w:p>
        </w:tc>
        <w:tc>
          <w:tcPr>
            <w:tcW w:type="dxa" w:w="2340"/>
            <w:vAlign w:val="center"/>
          </w:tcPr>
          <w:p>
            <w:pPr>
              <w:spacing w:after="0"/>
            </w:pPr>
            <w:r/>
            <w:r>
              <w:rPr>
                <w:rFonts w:ascii="Times New Roman" w:hAnsi="Times New Roman"/>
                <w:b w:val="0"/>
                <w:sz w:val="18"/>
              </w:rPr>
              <w:t>aspect_ratio: sqrt(2)</w:t>
            </w:r>
          </w:p>
        </w:tc>
        <w:tc>
          <w:tcPr>
            <w:tcW w:type="dxa" w:w="2340"/>
            <w:vAlign w:val="center"/>
          </w:tcPr>
          <w:p>
            <w:pPr>
              <w:spacing w:after="0"/>
            </w:pPr>
            <w:r/>
            <w:r>
              <w:rPr>
                <w:rFonts w:ascii="Times New Roman" w:hAnsi="Times New Roman"/>
                <w:b w:val="0"/>
                <w:sz w:val="18"/>
              </w:rPr>
              <w:t>4.93038e-32</w:t>
            </w:r>
          </w:p>
        </w:tc>
        <w:tc>
          <w:tcPr>
            <w:tcW w:type="dxa" w:w="2340"/>
            <w:vAlign w:val="center"/>
          </w:tcPr>
          <w:p>
            <w:pPr>
              <w:spacing w:after="0"/>
            </w:pPr>
            <w:r/>
            <w:r>
              <w:rPr>
                <w:rFonts w:ascii="Times New Roman" w:hAnsi="Times New Roman"/>
                <w:b w:val="0"/>
                <w:sz w:val="18"/>
              </w:rPr>
              <w:t>squared ratio difference</w:t>
            </w:r>
          </w:p>
        </w:tc>
      </w:tr>
    </w:tbl>
    <w:p/>
    <w:p>
      <w:pPr>
        <w:jc w:val="center"/>
      </w:pPr>
      <w:r>
        <w:drawing>
          <wp:inline xmlns:a="http://schemas.openxmlformats.org/drawingml/2006/main" xmlns:pic="http://schemas.openxmlformats.org/drawingml/2006/picture">
            <wp:extent cx="5852160" cy="4237894"/>
            <wp:docPr id="1" name="Picture 1"/>
            <wp:cNvGraphicFramePr>
              <a:graphicFrameLocks noChangeAspect="1"/>
            </wp:cNvGraphicFramePr>
            <a:graphic>
              <a:graphicData uri="http://schemas.openxmlformats.org/drawingml/2006/picture">
                <pic:pic>
                  <pic:nvPicPr>
                    <pic:cNvPr id="0" name="Figure_S1_model_sensitivity.png"/>
                    <pic:cNvPicPr/>
                  </pic:nvPicPr>
                  <pic:blipFill>
                    <a:blip r:embed="rId10"/>
                    <a:stretch>
                      <a:fillRect/>
                    </a:stretch>
                  </pic:blipFill>
                  <pic:spPr>
                    <a:xfrm>
                      <a:off x="0" y="0"/>
                      <a:ext cx="5852160" cy="4237894"/>
                    </a:xfrm>
                    <a:prstGeom prst="rect"/>
                  </pic:spPr>
                </pic:pic>
              </a:graphicData>
            </a:graphic>
          </wp:inline>
        </w:drawing>
      </w:r>
    </w:p>
    <w:p>
      <w:pPr>
        <w:jc w:val="left"/>
      </w:pPr>
      <w:r>
        <w:rPr>
          <w:b/>
        </w:rPr>
        <w:t>Figure S1. Pre-specified model sensitivity. Each panel uses its own scale.</w:t>
      </w:r>
    </w:p>
    <w:p>
      <w:pPr>
        <w:pStyle w:val="Heading1"/>
      </w:pPr>
      <w:r>
        <w:t>S5. Cross-case falsification</w:t>
      </w:r>
    </w:p>
    <w:p>
      <w:r>
        <w:t>The analyses do not compute a universal effect size. Leave-one-case-out is also leave-one-domain-out because each primary case represents a distinct domain. A source-quality sensitivity excludes the simulated C-MAPSS case. The negative controls retain the exact repeated-halving null and the unquantified container compatibility case.</w:t>
      </w:r>
    </w:p>
    <w:p>
      <w:pPr>
        <w:jc w:val="left"/>
      </w:pPr>
      <w:r>
        <w:rPr>
          <w:b/>
        </w:rPr>
        <w:t>Table S3. Full cross-case falsification output.</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rPr>
          <w:tblHeader/>
          <w:cantSplit/>
        </w:trPr>
        <w:tc>
          <w:tcPr>
            <w:tcW w:type="dxa" w:w="1560"/>
            <w:vAlign w:val="center"/>
            <w:shd w:fill="D9EAF7"/>
          </w:tcPr>
          <w:p>
            <w:pPr>
              <w:spacing w:after="0"/>
            </w:pPr>
            <w:r/>
            <w:r>
              <w:rPr>
                <w:rFonts w:ascii="Times New Roman" w:hAnsi="Times New Roman"/>
                <w:b/>
                <w:sz w:val="18"/>
              </w:rPr>
              <w:t>test</w:t>
            </w:r>
          </w:p>
        </w:tc>
        <w:tc>
          <w:tcPr>
            <w:tcW w:type="dxa" w:w="1560"/>
            <w:vAlign w:val="center"/>
            <w:shd w:fill="D9EAF7"/>
          </w:tcPr>
          <w:p>
            <w:pPr>
              <w:spacing w:after="0"/>
            </w:pPr>
            <w:r/>
            <w:r>
              <w:rPr>
                <w:rFonts w:ascii="Times New Roman" w:hAnsi="Times New Roman"/>
                <w:b/>
                <w:sz w:val="18"/>
              </w:rPr>
              <w:t>omitted_case</w:t>
            </w:r>
          </w:p>
        </w:tc>
        <w:tc>
          <w:tcPr>
            <w:tcW w:type="dxa" w:w="1560"/>
            <w:vAlign w:val="center"/>
            <w:shd w:fill="D9EAF7"/>
          </w:tcPr>
          <w:p>
            <w:pPr>
              <w:spacing w:after="0"/>
            </w:pPr>
            <w:r/>
            <w:r>
              <w:rPr>
                <w:rFonts w:ascii="Times New Roman" w:hAnsi="Times New Roman"/>
                <w:b/>
                <w:sz w:val="18"/>
              </w:rPr>
              <w:t>primary_cases_retained</w:t>
            </w:r>
          </w:p>
        </w:tc>
        <w:tc>
          <w:tcPr>
            <w:tcW w:type="dxa" w:w="1560"/>
            <w:vAlign w:val="center"/>
            <w:shd w:fill="D9EAF7"/>
          </w:tcPr>
          <w:p>
            <w:pPr>
              <w:spacing w:after="0"/>
            </w:pPr>
            <w:r/>
            <w:r>
              <w:rPr>
                <w:rFonts w:ascii="Times New Roman" w:hAnsi="Times New Roman"/>
                <w:b/>
                <w:sz w:val="18"/>
              </w:rPr>
              <w:t>material_oracle_mismatches</w:t>
            </w:r>
          </w:p>
        </w:tc>
        <w:tc>
          <w:tcPr>
            <w:tcW w:type="dxa" w:w="1560"/>
            <w:vAlign w:val="center"/>
            <w:shd w:fill="D9EAF7"/>
          </w:tcPr>
          <w:p>
            <w:pPr>
              <w:spacing w:after="0"/>
            </w:pPr>
            <w:r/>
            <w:r>
              <w:rPr>
                <w:rFonts w:ascii="Times New Roman" w:hAnsi="Times New Roman"/>
                <w:b/>
                <w:sz w:val="18"/>
              </w:rPr>
              <w:t>insufficient_or_uncertain</w:t>
            </w:r>
          </w:p>
        </w:tc>
        <w:tc>
          <w:tcPr>
            <w:tcW w:type="dxa" w:w="1560"/>
            <w:vAlign w:val="center"/>
            <w:shd w:fill="D9EAF7"/>
          </w:tcPr>
          <w:p>
            <w:pPr>
              <w:spacing w:after="0"/>
            </w:pPr>
            <w:r/>
            <w:r>
              <w:rPr>
                <w:rFonts w:ascii="Times New Roman" w:hAnsi="Times New Roman"/>
                <w:b/>
                <w:sz w:val="18"/>
              </w:rPr>
              <w:t>interpretation</w:t>
            </w:r>
          </w:p>
        </w:tc>
      </w:tr>
      <w:tr>
        <w:trPr>
          <w:cantSplit/>
        </w:trPr>
        <w:tc>
          <w:tcPr>
            <w:tcW w:type="dxa" w:w="1560"/>
            <w:vAlign w:val="center"/>
          </w:tcPr>
          <w:p>
            <w:pPr>
              <w:spacing w:after="0"/>
            </w:pPr>
            <w:r/>
            <w:r>
              <w:rPr>
                <w:rFonts w:ascii="Times New Roman" w:hAnsi="Times New Roman"/>
                <w:b w:val="0"/>
                <w:sz w:val="18"/>
              </w:rPr>
              <w:t>baseline_primary_classification_count</w:t>
            </w:r>
          </w:p>
        </w:tc>
        <w:tc>
          <w:tcPr>
            <w:tcW w:type="dxa" w:w="1560"/>
            <w:vAlign w:val="center"/>
          </w:tcPr>
          <w:p>
            <w:pPr>
              <w:spacing w:after="0"/>
            </w:pPr>
            <w:r/>
            <w:r>
              <w:rPr>
                <w:rFonts w:ascii="Times New Roman" w:hAnsi="Times New Roman"/>
                <w:b w:val="0"/>
                <w:sz w:val="18"/>
              </w:rPr>
            </w:r>
          </w:p>
        </w:tc>
        <w:tc>
          <w:tcPr>
            <w:tcW w:type="dxa" w:w="1560"/>
            <w:vAlign w:val="center"/>
          </w:tcPr>
          <w:p>
            <w:pPr>
              <w:spacing w:after="0"/>
            </w:pPr>
            <w:r/>
            <w:r>
              <w:rPr>
                <w:rFonts w:ascii="Times New Roman" w:hAnsi="Times New Roman"/>
                <w:b w:val="0"/>
                <w:sz w:val="18"/>
              </w:rPr>
              <w:t>4</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Classification count only; incomparable case outcomes are not pooled into a universal effect size.</w:t>
            </w:r>
          </w:p>
        </w:tc>
      </w:tr>
      <w:tr>
        <w:trPr>
          <w:cantSplit/>
        </w:trPr>
        <w:tc>
          <w:tcPr>
            <w:tcW w:type="dxa" w:w="1560"/>
            <w:vAlign w:val="center"/>
          </w:tcPr>
          <w:p>
            <w:pPr>
              <w:spacing w:after="0"/>
            </w:pPr>
            <w:r/>
            <w:r>
              <w:rPr>
                <w:rFonts w:ascii="Times New Roman" w:hAnsi="Times New Roman"/>
                <w:b w:val="0"/>
                <w:sz w:val="18"/>
              </w:rPr>
              <w:t>leave_one_case_and_domain_out</w:t>
            </w:r>
          </w:p>
        </w:tc>
        <w:tc>
          <w:tcPr>
            <w:tcW w:type="dxa" w:w="1560"/>
            <w:vAlign w:val="center"/>
          </w:tcPr>
          <w:p>
            <w:pPr>
              <w:spacing w:after="0"/>
            </w:pPr>
            <w:r/>
            <w:r>
              <w:rPr>
                <w:rFonts w:ascii="Times New Roman" w:hAnsi="Times New Roman"/>
                <w:b w:val="0"/>
                <w:sz w:val="18"/>
              </w:rPr>
              <w:t>BE03</w:t>
            </w:r>
          </w:p>
        </w:tc>
        <w:tc>
          <w:tcPr>
            <w:tcW w:type="dxa" w:w="1560"/>
            <w:vAlign w:val="center"/>
          </w:tcPr>
          <w:p>
            <w:pPr>
              <w:spacing w:after="0"/>
            </w:pPr>
            <w:r/>
            <w:r>
              <w:rPr>
                <w:rFonts w:ascii="Times New Roman" w:hAnsi="Times New Roman"/>
                <w:b w:val="0"/>
                <w:sz w:val="18"/>
              </w:rPr>
              <w:t>3</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1</w:t>
            </w:r>
          </w:p>
        </w:tc>
        <w:tc>
          <w:tcPr>
            <w:tcW w:type="dxa" w:w="1560"/>
            <w:vAlign w:val="center"/>
          </w:tcPr>
          <w:p>
            <w:pPr>
              <w:spacing w:after="0"/>
            </w:pPr>
            <w:r/>
            <w:r>
              <w:rPr>
                <w:rFonts w:ascii="Times New Roman" w:hAnsi="Times New Roman"/>
                <w:b w:val="0"/>
                <w:sz w:val="18"/>
              </w:rPr>
              <w:t>No leave-one-out result licenses a population causal claim; the frozen cases are a designed audit set.</w:t>
            </w:r>
          </w:p>
        </w:tc>
      </w:tr>
      <w:tr>
        <w:trPr>
          <w:cantSplit/>
        </w:trPr>
        <w:tc>
          <w:tcPr>
            <w:tcW w:type="dxa" w:w="1560"/>
            <w:vAlign w:val="center"/>
          </w:tcPr>
          <w:p>
            <w:pPr>
              <w:spacing w:after="0"/>
            </w:pPr>
            <w:r/>
            <w:r>
              <w:rPr>
                <w:rFonts w:ascii="Times New Roman" w:hAnsi="Times New Roman"/>
                <w:b w:val="0"/>
                <w:sz w:val="18"/>
              </w:rPr>
              <w:t>leave_one_case_and_domain_out</w:t>
            </w:r>
          </w:p>
        </w:tc>
        <w:tc>
          <w:tcPr>
            <w:tcW w:type="dxa" w:w="1560"/>
            <w:vAlign w:val="center"/>
          </w:tcPr>
          <w:p>
            <w:pPr>
              <w:spacing w:after="0"/>
            </w:pPr>
            <w:r/>
            <w:r>
              <w:rPr>
                <w:rFonts w:ascii="Times New Roman" w:hAnsi="Times New Roman"/>
                <w:b w:val="0"/>
                <w:sz w:val="18"/>
              </w:rPr>
              <w:t>WK07</w:t>
            </w:r>
          </w:p>
        </w:tc>
        <w:tc>
          <w:tcPr>
            <w:tcW w:type="dxa" w:w="1560"/>
            <w:vAlign w:val="center"/>
          </w:tcPr>
          <w:p>
            <w:pPr>
              <w:spacing w:after="0"/>
            </w:pPr>
            <w:r/>
            <w:r>
              <w:rPr>
                <w:rFonts w:ascii="Times New Roman" w:hAnsi="Times New Roman"/>
                <w:b w:val="0"/>
                <w:sz w:val="18"/>
              </w:rPr>
              <w:t>3</w:t>
            </w:r>
          </w:p>
        </w:tc>
        <w:tc>
          <w:tcPr>
            <w:tcW w:type="dxa" w:w="1560"/>
            <w:vAlign w:val="center"/>
          </w:tcPr>
          <w:p>
            <w:pPr>
              <w:spacing w:after="0"/>
            </w:pPr>
            <w:r/>
            <w:r>
              <w:rPr>
                <w:rFonts w:ascii="Times New Roman" w:hAnsi="Times New Roman"/>
                <w:b w:val="0"/>
                <w:sz w:val="18"/>
              </w:rPr>
              <w:t>1</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No leave-one-out result licenses a population causal claim; the frozen cases are a designed audit set.</w:t>
            </w:r>
          </w:p>
        </w:tc>
      </w:tr>
      <w:tr>
        <w:trPr>
          <w:cantSplit/>
        </w:trPr>
        <w:tc>
          <w:tcPr>
            <w:tcW w:type="dxa" w:w="1560"/>
            <w:vAlign w:val="center"/>
          </w:tcPr>
          <w:p>
            <w:pPr>
              <w:spacing w:after="0"/>
            </w:pPr>
            <w:r/>
            <w:r>
              <w:rPr>
                <w:rFonts w:ascii="Times New Roman" w:hAnsi="Times New Roman"/>
                <w:b w:val="0"/>
                <w:sz w:val="18"/>
              </w:rPr>
              <w:t>leave_one_case_and_domain_out</w:t>
            </w:r>
          </w:p>
        </w:tc>
        <w:tc>
          <w:tcPr>
            <w:tcW w:type="dxa" w:w="1560"/>
            <w:vAlign w:val="center"/>
          </w:tcPr>
          <w:p>
            <w:pPr>
              <w:spacing w:after="0"/>
            </w:pPr>
            <w:r/>
            <w:r>
              <w:rPr>
                <w:rFonts w:ascii="Times New Roman" w:hAnsi="Times New Roman"/>
                <w:b w:val="0"/>
                <w:sz w:val="18"/>
              </w:rPr>
              <w:t>UI01</w:t>
            </w:r>
          </w:p>
        </w:tc>
        <w:tc>
          <w:tcPr>
            <w:tcW w:type="dxa" w:w="1560"/>
            <w:vAlign w:val="center"/>
          </w:tcPr>
          <w:p>
            <w:pPr>
              <w:spacing w:after="0"/>
            </w:pPr>
            <w:r/>
            <w:r>
              <w:rPr>
                <w:rFonts w:ascii="Times New Roman" w:hAnsi="Times New Roman"/>
                <w:b w:val="0"/>
                <w:sz w:val="18"/>
              </w:rPr>
              <w:t>3</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1</w:t>
            </w:r>
          </w:p>
        </w:tc>
        <w:tc>
          <w:tcPr>
            <w:tcW w:type="dxa" w:w="1560"/>
            <w:vAlign w:val="center"/>
          </w:tcPr>
          <w:p>
            <w:pPr>
              <w:spacing w:after="0"/>
            </w:pPr>
            <w:r/>
            <w:r>
              <w:rPr>
                <w:rFonts w:ascii="Times New Roman" w:hAnsi="Times New Roman"/>
                <w:b w:val="0"/>
                <w:sz w:val="18"/>
              </w:rPr>
              <w:t>No leave-one-out result licenses a population causal claim; the frozen cases are a designed audit set.</w:t>
            </w:r>
          </w:p>
        </w:tc>
      </w:tr>
      <w:tr>
        <w:trPr>
          <w:cantSplit/>
        </w:trPr>
        <w:tc>
          <w:tcPr>
            <w:tcW w:type="dxa" w:w="1560"/>
            <w:vAlign w:val="center"/>
          </w:tcPr>
          <w:p>
            <w:pPr>
              <w:spacing w:after="0"/>
            </w:pPr>
            <w:r/>
            <w:r>
              <w:rPr>
                <w:rFonts w:ascii="Times New Roman" w:hAnsi="Times New Roman"/>
                <w:b w:val="0"/>
                <w:sz w:val="18"/>
              </w:rPr>
              <w:t>leave_one_case_and_domain_out</w:t>
            </w:r>
          </w:p>
        </w:tc>
        <w:tc>
          <w:tcPr>
            <w:tcW w:type="dxa" w:w="1560"/>
            <w:vAlign w:val="center"/>
          </w:tcPr>
          <w:p>
            <w:pPr>
              <w:spacing w:after="0"/>
            </w:pPr>
            <w:r/>
            <w:r>
              <w:rPr>
                <w:rFonts w:ascii="Times New Roman" w:hAnsi="Times New Roman"/>
                <w:b w:val="0"/>
                <w:sz w:val="18"/>
              </w:rPr>
              <w:t>UI09</w:t>
            </w:r>
          </w:p>
        </w:tc>
        <w:tc>
          <w:tcPr>
            <w:tcW w:type="dxa" w:w="1560"/>
            <w:vAlign w:val="center"/>
          </w:tcPr>
          <w:p>
            <w:pPr>
              <w:spacing w:after="0"/>
            </w:pPr>
            <w:r/>
            <w:r>
              <w:rPr>
                <w:rFonts w:ascii="Times New Roman" w:hAnsi="Times New Roman"/>
                <w:b w:val="0"/>
                <w:sz w:val="18"/>
              </w:rPr>
              <w:t>3</w:t>
            </w:r>
          </w:p>
        </w:tc>
        <w:tc>
          <w:tcPr>
            <w:tcW w:type="dxa" w:w="1560"/>
            <w:vAlign w:val="center"/>
          </w:tcPr>
          <w:p>
            <w:pPr>
              <w:spacing w:after="0"/>
            </w:pPr>
            <w:r/>
            <w:r>
              <w:rPr>
                <w:rFonts w:ascii="Times New Roman" w:hAnsi="Times New Roman"/>
                <w:b w:val="0"/>
                <w:sz w:val="18"/>
              </w:rPr>
              <w:t>1</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No leave-one-out result licenses a population causal claim; the frozen cases are a designed audit set.</w:t>
            </w:r>
          </w:p>
        </w:tc>
      </w:tr>
      <w:tr>
        <w:trPr>
          <w:cantSplit/>
        </w:trPr>
        <w:tc>
          <w:tcPr>
            <w:tcW w:type="dxa" w:w="1560"/>
            <w:vAlign w:val="center"/>
          </w:tcPr>
          <w:p>
            <w:pPr>
              <w:spacing w:after="0"/>
            </w:pPr>
            <w:r/>
            <w:r>
              <w:rPr>
                <w:rFonts w:ascii="Times New Roman" w:hAnsi="Times New Roman"/>
                <w:b w:val="0"/>
                <w:sz w:val="18"/>
              </w:rPr>
              <w:t>exclude_simulated_case</w:t>
            </w:r>
          </w:p>
        </w:tc>
        <w:tc>
          <w:tcPr>
            <w:tcW w:type="dxa" w:w="1560"/>
            <w:vAlign w:val="center"/>
          </w:tcPr>
          <w:p>
            <w:pPr>
              <w:spacing w:after="0"/>
            </w:pPr>
            <w:r/>
            <w:r>
              <w:rPr>
                <w:rFonts w:ascii="Times New Roman" w:hAnsi="Times New Roman"/>
                <w:b w:val="0"/>
                <w:sz w:val="18"/>
              </w:rPr>
              <w:t>WK07</w:t>
            </w:r>
          </w:p>
        </w:tc>
        <w:tc>
          <w:tcPr>
            <w:tcW w:type="dxa" w:w="1560"/>
            <w:vAlign w:val="center"/>
          </w:tcPr>
          <w:p>
            <w:pPr>
              <w:spacing w:after="0"/>
            </w:pPr>
            <w:r/>
            <w:r>
              <w:rPr>
                <w:rFonts w:ascii="Times New Roman" w:hAnsi="Times New Roman"/>
                <w:b w:val="0"/>
                <w:sz w:val="18"/>
              </w:rPr>
              <w:t>3</w:t>
            </w:r>
          </w:p>
        </w:tc>
        <w:tc>
          <w:tcPr>
            <w:tcW w:type="dxa" w:w="1560"/>
            <w:vAlign w:val="center"/>
          </w:tcPr>
          <w:p>
            <w:pPr>
              <w:spacing w:after="0"/>
            </w:pPr>
            <w:r/>
            <w:r>
              <w:rPr>
                <w:rFonts w:ascii="Times New Roman" w:hAnsi="Times New Roman"/>
                <w:b w:val="0"/>
                <w:sz w:val="18"/>
              </w:rPr>
              <w:t>1</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Source-quality sensitivity excluding C-MAPSS simulation.</w:t>
            </w:r>
          </w:p>
        </w:tc>
      </w:tr>
      <w:tr>
        <w:trPr>
          <w:cantSplit/>
        </w:trPr>
        <w:tc>
          <w:tcPr>
            <w:tcW w:type="dxa" w:w="1560"/>
            <w:vAlign w:val="center"/>
          </w:tcPr>
          <w:p>
            <w:pPr>
              <w:spacing w:after="0"/>
            </w:pPr>
            <w:r/>
            <w:r>
              <w:rPr>
                <w:rFonts w:ascii="Times New Roman" w:hAnsi="Times New Roman"/>
                <w:b w:val="0"/>
                <w:sz w:val="18"/>
              </w:rPr>
              <w:t>negative_controls</w:t>
            </w:r>
          </w:p>
        </w:tc>
        <w:tc>
          <w:tcPr>
            <w:tcW w:type="dxa" w:w="1560"/>
            <w:vAlign w:val="center"/>
          </w:tcPr>
          <w:p>
            <w:pPr>
              <w:spacing w:after="0"/>
            </w:pPr>
            <w:r/>
            <w:r>
              <w:rPr>
                <w:rFonts w:ascii="Times New Roman" w:hAnsi="Times New Roman"/>
                <w:b w:val="0"/>
                <w:sz w:val="18"/>
              </w:rPr>
            </w:r>
          </w:p>
        </w:tc>
        <w:tc>
          <w:tcPr>
            <w:tcW w:type="dxa" w:w="1560"/>
            <w:vAlign w:val="center"/>
          </w:tcPr>
          <w:p>
            <w:pPr>
              <w:spacing w:after="0"/>
            </w:pPr>
            <w:r/>
            <w:r>
              <w:rPr>
                <w:rFonts w:ascii="Times New Roman" w:hAnsi="Times New Roman"/>
                <w:b w:val="0"/>
                <w:sz w:val="18"/>
              </w:rPr>
              <w:t>4</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2</w:t>
            </w:r>
          </w:p>
        </w:tc>
        <w:tc>
          <w:tcPr>
            <w:tcW w:type="dxa" w:w="1560"/>
            <w:vAlign w:val="center"/>
          </w:tcPr>
          <w:p>
            <w:pPr>
              <w:spacing w:after="0"/>
            </w:pPr>
            <w:r/>
            <w:r>
              <w:rPr>
                <w:rFonts w:ascii="Times New Roman" w:hAnsi="Times New Roman"/>
                <w:b w:val="0"/>
                <w:sz w:val="18"/>
              </w:rPr>
              <w:t>NC03 returns the pre-specified analytic null; NC01 remains unquantified because transition-cost evidence is absent.</w:t>
            </w:r>
          </w:p>
        </w:tc>
      </w:tr>
    </w:tbl>
    <w:p/>
    <w:p>
      <w:pPr>
        <w:pStyle w:val="Heading1"/>
      </w:pPr>
      <w:r>
        <w:t>S6. Reproduction</w:t>
      </w:r>
    </w:p>
    <w:p>
      <w:r>
        <w:t>From the project root, create an environment from requirements.lock and run `make all`, `make test`, and `make audit`. Generated case-level processed files are written under outputs/analysis. The manuscript, supplement, figures, tables, and submission archive are regenerated without manual transcription.</w:t>
      </w:r>
    </w:p>
    <w:sectPr w:rsidR="00FC693F" w:rsidRPr="0006063C" w:rsidSect="00034616">
      <w:footerReference w:type="default" r:id="rId9"/>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