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tables</w:t>
      </w:r>
    </w:p>
    <w:p>
      <w:pPr>
        <w:jc w:val="left"/>
      </w:pPr>
      <w:r>
        <w:rPr>
          <w:b/>
        </w:rPr>
        <w:t>Table 1. Legacy Standard Audit stages.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312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Audit stage</w:t>
            </w:r>
          </w:p>
        </w:tc>
        <w:tc>
          <w:tcPr>
            <w:tcW w:type="dxa" w:w="312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Required evidence</w:t>
            </w:r>
          </w:p>
        </w:tc>
        <w:tc>
          <w:tcPr>
            <w:tcW w:type="dxa" w:w="312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Decision output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Historical reconstruction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Objective, information set, feasible set, coordination conditions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Historically defensible incumbent problem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Technology-mediated change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Sensing, computation, communication, automation, adaptive control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Changed parameter or feasible-set claim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Static audit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Incumbent and contemporary comparator under a common objective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Case-specific frictionless regret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Transition audit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Switching, compatibility, safety, regulation, network effects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Transition-adjusted regret or break-even condition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Governance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Frozen cases, uncertainty, null controls, falsification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Material, uncertain, null, or insufficient classification</w:t>
            </w:r>
          </w:p>
        </w:tc>
      </w:tr>
    </w:tbl>
    <w:p/>
    <w:p>
      <w:pPr>
        <w:jc w:val="left"/>
      </w:pPr>
      <w:r>
        <w:rPr>
          <w:b/>
        </w:rPr>
        <w:t>Table 2. Frozen case design and evidentiary limits.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Case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Persisted input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Analysis unit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Contemporary comparator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Critical limitation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Primary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UCI office occupancy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20,560 minute-observations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Oracle occupancy control, 10-minute hold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sensor error, power, commissioning, or installation cost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Primary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NASA C-MAPSS FD001 simulation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100 evaluation units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Perfect remaining-life condition policy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Simulated trajectories; no observed maintenance program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Primary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OPSD load and day-ahead prices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725 complete days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1.0% bounded load shift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Fixed prices; no tariff assignment or customer response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Primary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NASA POWER weather and FAO-56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135 evaluation weeks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Perfect-weather reference-crop requirement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crop coefficient, soil storage, efficiency, or yield model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TR01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Supplementary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NYC directional traffic counts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18 evaluation days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Demand-proportional directional allocation proxy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verified intersection or deployed timing plan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Network control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ISO container-standard metadata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Not estimable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Break-even identity only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fleet, conversion, or network-cost data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Analytic null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ISO 216 geometric principle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Exact analytic objective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Positive solution r = √2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Applies only to repeated-halving similarity</w:t>
            </w:r>
          </w:p>
        </w:tc>
      </w:tr>
    </w:tbl>
    <w:p/>
    <w:p>
      <w:pPr>
        <w:jc w:val="left"/>
      </w:pPr>
      <w:r>
        <w:rPr>
          <w:b/>
        </w:rPr>
        <w:t>Table 3. Case-specific technical benchmark results.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Case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Pre-specified metric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Estimate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95% interval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Classification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Nominal lighting-energy reduction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25.7%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18.0%–34.9%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small or uncertain mismatch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Static regret, normalized cost/cycle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0.00250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0.00229–0.00271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material mismatch under oracle benchmark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Procurement saving, EUR/MWh baseline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0.072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0.068–0.076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small or uncertain mismatch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objective regret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36.9%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31.7%–39.9%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material mismatch under oracle benchmark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TR01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Delay-proxy reduction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27.2%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22.3%–31.0%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insufficient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Static/transition regret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Not estimated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Not estimated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insufficient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NC03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Repeated-halving loss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4.930e-32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Exact analytic result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mismatch for repeated halving objective</w:t>
            </w:r>
          </w:p>
        </w:tc>
      </w:tr>
    </w:tbl>
    <w:p/>
    <w:p>
      <w:pPr>
        <w:jc w:val="left"/>
      </w:pPr>
      <w:r>
        <w:rPr>
          <w:b/>
        </w:rPr>
        <w:t>Table 4. Cross-case falsification and source-quality checks.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Omitted case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Primary retained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Material oracle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Uncertain/insufficient</w:t>
            </w:r>
          </w:p>
        </w:tc>
        <w:tc>
          <w:tcPr>
            <w:tcW w:type="dxa" w:w="156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baseline primary classification count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Classification count only; incomparable case outcomes are not pooled into a universal effect size.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leave one case and domain out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leave-one-out result licenses a population causal claim; the frozen cases are a designed audit set.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leave one case and domain out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leave-one-out result licenses a population causal claim; the frozen cases are a designed audit set.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leave one case and domain out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leave-one-out result licenses a population causal claim; the frozen cases are a designed audit set.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leave one case and domain out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 leave-one-out result licenses a population causal claim; the frozen cases are a designed audit set.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exclude simulated case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Source-quality sensitivity excluding C-MAPSS simulation.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negative controls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NC03 returns the pre-specified analytic null; NC01 remains unquantified because transition-cost evidence is absent.</w:t>
            </w:r>
          </w:p>
        </w:tc>
      </w:tr>
    </w:tbl>
    <w:p/>
    <w:p>
      <w:pPr>
        <w:jc w:val="left"/>
      </w:pPr>
      <w:r>
        <w:rPr>
          <w:b/>
        </w:rPr>
        <w:t>Table S1. Pre-specified model sensitivity.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4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Case</w:t>
            </w:r>
          </w:p>
        </w:tc>
        <w:tc>
          <w:tcPr>
            <w:tcW w:type="dxa" w:w="234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Setting</w:t>
            </w:r>
          </w:p>
        </w:tc>
        <w:tc>
          <w:tcPr>
            <w:tcW w:type="dxa" w:w="234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Estimate</w:t>
            </w:r>
          </w:p>
        </w:tc>
        <w:tc>
          <w:tcPr>
            <w:tcW w:type="dxa" w:w="234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fixed_schedule_hours: 08:00-18:00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0.0783925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fixed_schedule_hours: 07:00-19:00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0.256686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BE03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fixed_schedule_hours: 06:00-20:00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0.377177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cost=2;lead=1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0.00232759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cost=2;lead=5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0.00223097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cost=2;lead=10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0.00210467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cost=5;lead=1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0.00259603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cost=5;lead=5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0.00249941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cost=5;lead=10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0.00237311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cost=10;lead=1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0.00300736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cost=10;lead=5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0.00291074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cost=10;lead=10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0.00278444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cost=20;lead=1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0.00300736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cost=20;lead=5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0.00291074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WK07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failure_cost_ratio_and_lead: cost=20;lead=10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0.00278444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normalized cost per cycle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flexible_load_fraction: 0.005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0.0359227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EUR per MWh baseline load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flexible_load_fraction: 0.01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0.0718454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EUR per MWh baseline load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flexible_load_fraction: 0.05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0.359227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EUR per MWh baseline load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median;penalty=2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0.188772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median;penalty=5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0.368698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median;penalty=10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0.53908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mean;penalty=2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0.195298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mean;penalty=5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0.405336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UI09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calendar_estimator_and_shortfall_penalty: mean;penalty=10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0.585607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TR01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static_green_share: training_estimate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0.272042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fraction</w:t>
            </w:r>
          </w:p>
        </w:tc>
      </w:tr>
      <w:tr>
        <w:trPr>
          <w:cantSplit/>
        </w:trP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NC03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aspect_ratio: sqrt(2)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4.93038e-32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sz w:val="18"/>
              </w:rPr>
              <w:t>squared ratio difference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