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arm,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and Figure 4 show the two collections as prism forest plots, in which the structural difference between the collections is visible alongside the effect estimates.</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5).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(Table 7, Figure 6).</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7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8).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6689548cb6f3).</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Table 7.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8.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Figure 4. Prism forest plot for the intensive glucose-control collection.</w:t>
      </w:r>
    </w:p>
    <w:p>
      <w:r>
        <w:rPr>
          <w:rFonts w:ascii="Times New Roman" w:hAnsi="Times New Roman"/>
          <w:i w:val="0"/>
        </w:rPr>
        <w:t>Figure 5. Principal-component-based ICR in eight International Stroke Trial country groups: estimator values, their dispersion, and their relation to 14-day mortality.</w:t>
      </w:r>
    </w:p>
    <w:p>
      <w:r>
        <w:rPr>
          <w:rFonts w:ascii="Times New Roman" w:hAnsi="Times New Roman"/>
          <w:i w:val="0"/>
        </w:rPr>
        <w:t>Figure 6. Leave-one-out recomputation of the association between each PCA-based ICR estimator and 14-day mortality across the eight country groups.</w:t>
      </w:r>
    </w:p>
    <w:p>
      <w:r>
        <w:rPr>
          <w:rFonts w:ascii="Times New Roman" w:hAnsi="Times New Roman"/>
          <w:i w:val="0"/>
        </w:rPr>
        <w:t>Figure 7.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