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jc w:val="center"/>
      </w:pPr>
      <w:r>
        <w:drawing>
          <wp:inline xmlns:a="http://schemas.openxmlformats.org/drawingml/2006/main" xmlns:pic="http://schemas.openxmlformats.org/drawingml/2006/picture">
            <wp:extent cx="5486400" cy="3896254"/>
            <wp:docPr id="1" name="Picture 1"/>
            <wp:cNvGraphicFramePr>
              <a:graphicFrameLocks noChangeAspect="1"/>
            </wp:cNvGraphicFramePr>
            <a:graphic>
              <a:graphicData uri="http://schemas.openxmlformats.org/drawingml/2006/picture">
                <pic:pic>
                  <pic:nvPicPr>
                    <pic:cNvPr id="0" name="fig0_icr_dimension_relationship.png"/>
                    <pic:cNvPicPr/>
                  </pic:nvPicPr>
                  <pic:blipFill>
                    <a:blip r:embed="rId9"/>
                    <a:stretch>
                      <a:fillRect/>
                    </a:stretch>
                  </pic:blipFill>
                  <pic:spPr>
                    <a:xfrm>
                      <a:off x="0" y="0"/>
                      <a:ext cx="5486400" cy="3896254"/>
                    </a:xfrm>
                    <a:prstGeom prst="rect"/>
                  </pic:spPr>
                </pic:pic>
              </a:graphicData>
            </a:graphic>
          </wp:inline>
        </w:drawing>
      </w:r>
    </w:p>
    <w:p>
      <w:pPr>
        <w:spacing w:before="240"/>
      </w:pPr>
      <w:r>
        <w:rPr>
          <w:rFonts w:ascii="Times New Roman" w:hAnsi="Times New Roman"/>
          <w:i/>
          <w:sz w:val="20"/>
        </w:rPr>
        <w:t>Figure 1. Relationship between the number of measured variables and the dimension-counting Information Contribution Ratio (ICR_std = d/D) for a single endpoint. The curve is deterministic and illustrates why the measure is dominated by variable counting.</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arm,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jc w:val="center"/>
      </w:pPr>
      <w:r>
        <w:drawing>
          <wp:inline xmlns:a="http://schemas.openxmlformats.org/drawingml/2006/main" xmlns:pic="http://schemas.openxmlformats.org/drawingml/2006/picture">
            <wp:extent cx="5486400" cy="3632638"/>
            <wp:docPr id="2" name="Picture 2"/>
            <wp:cNvGraphicFramePr>
              <a:graphicFrameLocks noChangeAspect="1"/>
            </wp:cNvGraphicFramePr>
            <a:graphic>
              <a:graphicData uri="http://schemas.openxmlformats.org/drawingml/2006/picture">
                <pic:pic>
                  <pic:nvPicPr>
                    <pic:cNvPr id="0" name="fig1_scenario_comparison.png"/>
                    <pic:cNvPicPr/>
                  </pic:nvPicPr>
                  <pic:blipFill>
                    <a:blip r:embed="rId10"/>
                    <a:stretch>
                      <a:fillRect/>
                    </a:stretch>
                  </pic:blipFill>
                  <pic:spPr>
                    <a:xfrm>
                      <a:off x="0" y="0"/>
                      <a:ext cx="5486400" cy="3632638"/>
                    </a:xfrm>
                    <a:prstGeom prst="rect"/>
                  </pic:spPr>
                </pic:pic>
              </a:graphicData>
            </a:graphic>
          </wp:inline>
        </w:drawing>
      </w:r>
    </w:p>
    <w:p>
      <w:pPr>
        <w:spacing w:before="240"/>
      </w:pPr>
      <w:r>
        <w:rPr>
          <w:rFonts w:ascii="Times New Roman" w:hAnsi="Times New Roman"/>
          <w:i/>
          <w:sz w:val="20"/>
        </w:rPr>
        <w:t>Figure 2. Simulation results for the uniform-ICR (Scenario A) and heterogeneous-ICR (Scenario B) designs: distributions of I-squared, tau-squared, ICR discrepancy and the pooled effect.</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and Figure 4 show the two collections as prism forest plots, in which the structural difference between the collections is visible alongside the effect estimates.</w:t>
      </w:r>
    </w:p>
    <w:p>
      <w:pPr>
        <w:jc w:val="center"/>
      </w:pPr>
      <w:r>
        <w:drawing>
          <wp:inline xmlns:a="http://schemas.openxmlformats.org/drawingml/2006/main" xmlns:pic="http://schemas.openxmlformats.org/drawingml/2006/picture">
            <wp:extent cx="5486400" cy="2314307"/>
            <wp:docPr id="3" name="Picture 3"/>
            <wp:cNvGraphicFramePr>
              <a:graphicFrameLocks noChangeAspect="1"/>
            </wp:cNvGraphicFramePr>
            <a:graphic>
              <a:graphicData uri="http://schemas.openxmlformats.org/drawingml/2006/picture">
                <pic:pic>
                  <pic:nvPicPr>
                    <pic:cNvPr id="0" name="fig_linko_prism_statin.png"/>
                    <pic:cNvPicPr/>
                  </pic:nvPicPr>
                  <pic:blipFill>
                    <a:blip r:embed="rId11"/>
                    <a:stretch>
                      <a:fillRect/>
                    </a:stretch>
                  </pic:blipFill>
                  <pic:spPr>
                    <a:xfrm>
                      <a:off x="0" y="0"/>
                      <a:ext cx="5486400" cy="2314307"/>
                    </a:xfrm>
                    <a:prstGeom prst="rect"/>
                  </pic:spPr>
                </pic:pic>
              </a:graphicData>
            </a:graphic>
          </wp:inline>
        </w:drawing>
      </w:r>
    </w:p>
    <w:p>
      <w:pPr>
        <w:spacing w:before="240"/>
      </w:pPr>
      <w:r>
        <w:rPr>
          <w:rFonts w:ascii="Times New Roman" w:hAnsi="Times New Roman"/>
          <w:i/>
          <w:sz w:val="20"/>
        </w:rPr>
        <w:t>Figure 3. Prism forest plot for the statin collection. Marker colour encodes ICR_std; the side panel lists the values. The display is descriptive.</w:t>
      </w:r>
    </w:p>
    <w:p>
      <w:pPr>
        <w:jc w:val="center"/>
      </w:pPr>
      <w:r>
        <w:drawing>
          <wp:inline xmlns:a="http://schemas.openxmlformats.org/drawingml/2006/main" xmlns:pic="http://schemas.openxmlformats.org/drawingml/2006/picture">
            <wp:extent cx="5486400" cy="2317936"/>
            <wp:docPr id="4" name="Picture 4"/>
            <wp:cNvGraphicFramePr>
              <a:graphicFrameLocks noChangeAspect="1"/>
            </wp:cNvGraphicFramePr>
            <a:graphic>
              <a:graphicData uri="http://schemas.openxmlformats.org/drawingml/2006/picture">
                <pic:pic>
                  <pic:nvPicPr>
                    <pic:cNvPr id="0" name="fig_linko_prism_glucose_control.png"/>
                    <pic:cNvPicPr/>
                  </pic:nvPicPr>
                  <pic:blipFill>
                    <a:blip r:embed="rId12"/>
                    <a:stretch>
                      <a:fillRect/>
                    </a:stretch>
                  </pic:blipFill>
                  <pic:spPr>
                    <a:xfrm>
                      <a:off x="0" y="0"/>
                      <a:ext cx="5486400" cy="2317936"/>
                    </a:xfrm>
                    <a:prstGeom prst="rect"/>
                  </pic:spPr>
                </pic:pic>
              </a:graphicData>
            </a:graphic>
          </wp:inline>
        </w:drawing>
      </w:r>
    </w:p>
    <w:p>
      <w:pPr>
        <w:spacing w:before="240"/>
      </w:pPr>
      <w:r>
        <w:rPr>
          <w:rFonts w:ascii="Times New Roman" w:hAnsi="Times New Roman"/>
          <w:i/>
          <w:sz w:val="20"/>
        </w:rPr>
        <w:t>Figure 4. Prism forest plot for the intensive glucose-control collection.</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5).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(Table 7, Figure 6).</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pPr>
        <w:jc w:val="center"/>
      </w:pPr>
      <w:r>
        <w:drawing>
          <wp:inline xmlns:a="http://schemas.openxmlformats.org/drawingml/2006/main" xmlns:pic="http://schemas.openxmlformats.org/drawingml/2006/picture">
            <wp:extent cx="5486400" cy="3899884"/>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486400" cy="3899884"/>
                    </a:xfrm>
                    <a:prstGeom prst="rect"/>
                  </pic:spPr>
                </pic:pic>
              </a:graphicData>
            </a:graphic>
          </wp:inline>
        </w:drawing>
      </w:r>
    </w:p>
    <w:p>
      <w:pPr>
        <w:spacing w:before="240"/>
      </w:pPr>
      <w:r>
        <w:rPr>
          <w:rFonts w:ascii="Times New Roman" w:hAnsi="Times New Roman"/>
          <w:i/>
          <w:sz w:val="20"/>
        </w:rPr>
        <w:t>Figure 5. Principal-component-based ICR in eight International Stroke Trial country groups: estimator values, their dispersion, and their relation to 14-day mortality.</w:t>
      </w:r>
    </w:p>
    <w:p>
      <w:pPr>
        <w:jc w:val="center"/>
      </w:pPr>
      <w:r>
        <w:drawing>
          <wp:inline xmlns:a="http://schemas.openxmlformats.org/drawingml/2006/main" xmlns:pic="http://schemas.openxmlformats.org/drawingml/2006/picture">
            <wp:extent cx="5486400" cy="2078892"/>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486400" cy="2078892"/>
                    </a:xfrm>
                    <a:prstGeom prst="rect"/>
                  </pic:spPr>
                </pic:pic>
              </a:graphicData>
            </a:graphic>
          </wp:inline>
        </w:drawing>
      </w:r>
    </w:p>
    <w:p>
      <w:pPr>
        <w:spacing w:before="240"/>
      </w:pPr>
      <w:r>
        <w:rPr>
          <w:rFonts w:ascii="Times New Roman" w:hAnsi="Times New Roman"/>
          <w:i/>
          <w:sz w:val="20"/>
        </w:rPr>
        <w:t>Figure 6. Leave-one-out recomputation of the association between each PCA-based ICR estimator and 14-day mortality across the eight country groups.</w:t>
      </w:r>
    </w:p>
    <w:p>
      <w:r>
        <w:rPr>
          <w:rFonts w:ascii="Times New Roman" w:hAnsi="Times New Roman"/>
          <w:i w:val="0"/>
        </w:rPr>
        <w:t>Figure 7 displays the same groups as a prism forest plot, with both PCA-based estimators encoded simultaneously.</w:t>
      </w:r>
    </w:p>
    <w:p>
      <w:pPr>
        <w:jc w:val="center"/>
      </w:pPr>
      <w:r>
        <w:drawing>
          <wp:inline xmlns:a="http://schemas.openxmlformats.org/drawingml/2006/main" xmlns:pic="http://schemas.openxmlformats.org/drawingml/2006/picture">
            <wp:extent cx="5486400" cy="2951068"/>
            <wp:docPr id="7" name="Picture 7"/>
            <wp:cNvGraphicFramePr>
              <a:graphicFrameLocks noChangeAspect="1"/>
            </wp:cNvGraphicFramePr>
            <a:graphic>
              <a:graphicData uri="http://schemas.openxmlformats.org/drawingml/2006/picture">
                <pic:pic>
                  <pic:nvPicPr>
                    <pic:cNvPr id="0" name="fig_linko_prism_ist.png"/>
                    <pic:cNvPicPr/>
                  </pic:nvPicPr>
                  <pic:blipFill>
                    <a:blip r:embed="rId15"/>
                    <a:stretch>
                      <a:fillRect/>
                    </a:stretch>
                  </pic:blipFill>
                  <pic:spPr>
                    <a:xfrm>
                      <a:off x="0" y="0"/>
                      <a:ext cx="5486400" cy="2951068"/>
                    </a:xfrm>
                    <a:prstGeom prst="rect"/>
                  </pic:spPr>
                </pic:pic>
              </a:graphicData>
            </a:graphic>
          </wp:inline>
        </w:drawing>
      </w:r>
    </w:p>
    <w:p>
      <w:pPr>
        <w:spacing w:before="240"/>
      </w:pPr>
      <w:r>
        <w:rPr>
          <w:rFonts w:ascii="Times New Roman" w:hAnsi="Times New Roman"/>
          <w:i/>
          <w:sz w:val="20"/>
        </w:rPr>
        <w:t>Figure 7. Prism forest plot for the International Stroke Trial country groups, with colour encoding the loading-based estimator and marker size the regression-based estimator. Rates are shown for display; the groups are not independent trials.</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8).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6689548cb6f3).</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Table 7.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8.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