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LINKO (Latent Information Normalization for Key Outcomes): A Framework for Evaluating the Validity of Meta-Analytic Pooling Across Heterogeneous RCT Data Structures</w:t>
      </w:r>
    </w:p>
    <w:p>
      <w:r>
        <w:rPr>
          <w:rFonts w:ascii="Times New Roman" w:hAnsi="Times New Roman"/>
          <w:i w:val="0"/>
        </w:rPr>
        <w:t>Short title: LINKO</w:t>
      </w:r>
    </w:p>
    <w:p>
      <w:r>
        <w:rPr>
          <w:rFonts w:ascii="Times New Roman" w:hAnsi="Times New Roman"/>
          <w:i w:val="0"/>
        </w:rPr>
        <w:t>Author: Tatsuki Onishi</w:t>
      </w:r>
    </w:p>
    <w:p>
      <w:r>
        <w:rPr>
          <w:rFonts w:ascii="Times New Roman" w:hAnsi="Times New Roman"/>
          <w:i w:val="0"/>
        </w:rPr>
        <w:t>Affiliation: [Affiliation]</w:t>
      </w:r>
    </w:p>
    <w:p>
      <w:r>
        <w:rPr>
          <w:rFonts w:ascii="Times New Roman" w:hAnsi="Times New Roman"/>
          <w:i w:val="0"/>
        </w:rPr>
        <w:t>Corresponding author: Tatsuki Onishi, [Address], [Email]</w:t>
      </w:r>
    </w:p>
    <w:p>
      <w:r>
        <w:rPr>
          <w:rFonts w:ascii="Times New Roman" w:hAnsi="Times New Roman"/>
          <w:i w:val="0"/>
        </w:rPr>
        <w:t>Word count of abstract: 243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within the Latent Information Normalization for Key Outcomes (LINKO) framework, whose core descriptor is the Information Contribution Ratio (ICR); we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 xml:space="preserve">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w:t>
      </w:r>
      <w:r>
        <w:rPr>
          <w:rFonts w:ascii="Times New Roman" w:hAnsi="Times New Roman"/>
          <w:vertAlign w:val="superscript"/>
        </w:rPr>
        <w:t>1,2,3</w:t>
      </w:r>
      <w:r>
        <w:rPr>
          <w:rFonts w:ascii="Times New Roman" w:hAnsi="Times New Roman"/>
          <w:i w:val="0"/>
        </w:rPr>
        <w:t>. These quantities describe dispersion of effect estimates; they say nothing about the data structure from which each estimate was extracted.</w:t>
      </w:r>
    </w:p>
    <w:p>
      <w:r>
        <w:rPr>
          <w:rFonts w:ascii="Times New Roman" w:hAnsi="Times New Roman"/>
          <w:i w:val="0"/>
        </w:rPr>
        <w:t xml:space="preserve">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introduces the Latent Information Normalization for Key Outcomes (LINKO) framework, in which the Information Contribution Ratio (ICR) is the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w:t>
      </w:r>
      <w:r>
        <w:rPr>
          <w:rFonts w:ascii="Times New Roman" w:hAnsi="Times New Roman"/>
          <w:vertAlign w:val="superscript"/>
        </w:rPr>
        <w:t>4</w:t>
      </w:r>
      <w:r>
        <w:rPr>
          <w:rFonts w:ascii="Times New Roman" w:hAnsi="Times New Roman"/>
          <w:i w:val="0"/>
        </w:rPr>
        <w:t>.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LINKO as a framework and ICR as its reproducible structural descriptor and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jc w:val="center"/>
      </w:pPr>
      <w:r>
        <w:drawing>
          <wp:inline xmlns:a="http://schemas.openxmlformats.org/drawingml/2006/main" xmlns:pic="http://schemas.openxmlformats.org/drawingml/2006/picture">
            <wp:extent cx="5486400" cy="3896254"/>
            <wp:docPr id="1" name="Picture 1"/>
            <wp:cNvGraphicFramePr>
              <a:graphicFrameLocks noChangeAspect="1"/>
            </wp:cNvGraphicFramePr>
            <a:graphic>
              <a:graphicData uri="http://schemas.openxmlformats.org/drawingml/2006/picture">
                <pic:pic>
                  <pic:nvPicPr>
                    <pic:cNvPr id="0" name="fig0_icr_dimension_relationship.png"/>
                    <pic:cNvPicPr/>
                  </pic:nvPicPr>
                  <pic:blipFill>
                    <a:blip r:embed="rId9"/>
                    <a:stretch>
                      <a:fillRect/>
                    </a:stretch>
                  </pic:blipFill>
                  <pic:spPr>
                    <a:xfrm>
                      <a:off x="0" y="0"/>
                      <a:ext cx="5486400" cy="3896254"/>
                    </a:xfrm>
                    <a:prstGeom prst="rect"/>
                  </pic:spPr>
                </pic:pic>
              </a:graphicData>
            </a:graphic>
          </wp:inline>
        </w:drawing>
      </w:r>
    </w:p>
    <w:p>
      <w:pPr>
        <w:spacing w:before="240"/>
      </w:pPr>
      <w:r>
        <w:rPr>
          <w:rFonts w:ascii="Times New Roman" w:hAnsi="Times New Roman"/>
          <w:i/>
          <w:sz w:val="20"/>
        </w:rPr>
        <w:t>Figure 1. Relationship between the number of measured variables and the dimension-counting Information Contribution Ratio (ICR_std = d/D) for a single endpoint. The curve is deterministic and illustrates why the measure is dominated by variable counting.</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m:oMath>
        <m:r>
          <w:rPr>
            <w:rFonts w:ascii="Cambria Math" w:hAnsi="Cambria Math"/>
            <w:sz w:val="24"/>
            <w:szCs w:val="24"/>
          </w:rPr>
          <m:t xml:space="preserve">ICR</m:t>
        </m:r>
        <m:r>
          <m:rPr>
            <m:sty m:val="p"/>
          </m:rPr>
          <w:rPr>
            <w:rFonts w:ascii="Cambria Math" w:hAnsi="Cambria Math"/>
            <w:sz w:val="24"/>
            <w:szCs w:val="24"/>
          </w:rPr>
          <m:t xml:space="preserve">=</m:t>
        </m:r>
        <m:r>
          <w:rPr>
            <w:rFonts w:ascii="Cambria Math" w:hAnsi="Cambria Math"/>
            <w:sz w:val="24"/>
            <w:szCs w:val="24"/>
          </w:rPr>
          <m:t xml:space="preserve">f</m:t>
        </m:r>
        <m:d>
          <m:dPr>
            <m:begChr m:val="("/>
            <m:endChr m:val=")"/>
          </m:dPr>
          <m:e>
            <m:r>
              <w:rPr>
                <w:rFonts w:ascii="Cambria Math" w:hAnsi="Cambria Math"/>
                <w:sz w:val="24"/>
                <w:szCs w:val="24"/>
              </w:rPr>
              <m:t xml:space="preserve">E</m:t>
            </m:r>
            <m:r>
              <m:rPr>
                <m:sty m:val="p"/>
              </m:rPr>
              <w:rPr>
                <w:rFonts w:ascii="Cambria Math" w:hAnsi="Cambria Math"/>
                <w:sz w:val="24"/>
                <w:szCs w:val="24"/>
              </w:rPr>
              <m:t xml:space="preserve">;</m:t>
            </m:r>
            <m:sSub>
              <m:e>
                <m:r>
                  <w:rPr>
                    <w:rFonts w:ascii="Cambria Math" w:hAnsi="Cambria Math"/>
                    <w:sz w:val="24"/>
                    <w:szCs w:val="24"/>
                  </w:rPr>
                  <m:t xml:space="preserve">X</m:t>
                </m:r>
              </m:e>
              <m:sub>
                <m:r>
                  <w:rPr>
                    <w:rFonts w:ascii="Cambria Math" w:hAnsi="Cambria Math"/>
                    <w:sz w:val="24"/>
                    <w:szCs w:val="24"/>
                  </w:rPr>
                  <m:t xml:space="preserve">1</m:t>
                </m:r>
              </m:sub>
            </m:sSub>
            <m:r>
              <m:rPr>
                <m:sty m:val="p"/>
              </m:rPr>
              <w:rPr>
                <w:rFonts w:ascii="Cambria Math" w:hAnsi="Cambria Math"/>
                <w:sz w:val="24"/>
                <w:szCs w:val="24"/>
              </w:rPr>
              <m:t xml:space="preserve">,</m:t>
            </m:r>
            <m:r>
              <m:rPr>
                <m:sty m:val="p"/>
              </m:rPr>
              <w:rPr>
                <w:rFonts w:ascii="Cambria Math" w:hAnsi="Cambria Math"/>
                <w:sz w:val="24"/>
                <w:szCs w:val="24"/>
              </w:rPr>
              <m:t xml:space="preserve">…</m:t>
            </m:r>
            <m:r>
              <m:rPr>
                <m:sty m:val="p"/>
              </m:rPr>
              <w:rPr>
                <w:rFonts w:ascii="Cambria Math" w:hAnsi="Cambria Math"/>
                <w:sz w:val="24"/>
                <w:szCs w:val="24"/>
              </w:rPr>
              <m:t xml:space="preserve">,</m:t>
            </m:r>
            <m:sSub>
              <m:e>
                <m:r>
                  <w:rPr>
                    <w:rFonts w:ascii="Cambria Math" w:hAnsi="Cambria Math"/>
                    <w:sz w:val="24"/>
                    <w:szCs w:val="24"/>
                  </w:rPr>
                  <m:t xml:space="preserve">X</m:t>
                </m:r>
              </m:e>
              <m:sub>
                <m:r>
                  <w:rPr>
                    <w:rFonts w:ascii="Cambria Math" w:hAnsi="Cambria Math"/>
                    <w:sz w:val="24"/>
                    <w:szCs w:val="24"/>
                  </w:rPr>
                  <m:t xml:space="preserve">D</m:t>
                </m:r>
              </m:sub>
            </m:sSub>
          </m:e>
        </m:d>
      </m:oMath>
      <w:r>
        <w:rPr>
          <w:rFonts w:ascii="Times New Roman" w:hAnsi="Times New Roman"/>
        </w:rPr>
        <w:t>,</w:t>
      </w:r>
    </w:p>
    <w:p>
      <w:r>
        <w:rPr>
          <w:rFonts w:ascii="Times New Roman" w:hAnsi="Times New Roman"/>
          <w:i w:val="0"/>
        </w:rPr>
        <w:t xml:space="preserve">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w:t>
      </w:r>
      <w:r>
        <w:rPr>
          <w:rFonts w:ascii="Times New Roman" w:hAnsi="Times New Roman"/>
          <w:vertAlign w:val="superscript"/>
        </w:rPr>
        <w:t>5</w:t>
      </w:r>
      <w:r>
        <w:rPr>
          <w:rFonts w:ascii="Times New Roman" w:hAnsi="Times New Roman"/>
          <w:i w:val="0"/>
        </w:rPr>
        <w:t>;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m:oMath>
        <m:sSub>
          <m:e>
            <m:r>
              <w:rPr>
                <w:rFonts w:ascii="Cambria Math" w:hAnsi="Cambria Math"/>
                <w:sz w:val="24"/>
                <w:szCs w:val="24"/>
              </w:rPr>
              <m:t xml:space="preserve">ICR</m:t>
            </m:r>
          </m:e>
          <m:sub>
            <m:r>
              <w:rPr>
                <w:rFonts w:ascii="Cambria Math" w:hAnsi="Cambria Math"/>
                <w:sz w:val="24"/>
                <w:szCs w:val="24"/>
              </w:rPr>
              <m:t xml:space="preserve">std</m:t>
            </m:r>
          </m:sub>
        </m:sSub>
        <m:r>
          <m:rPr>
            <m:sty m:val="p"/>
          </m:rPr>
          <w:rPr>
            <w:rFonts w:ascii="Cambria Math" w:hAnsi="Cambria Math"/>
            <w:sz w:val="24"/>
            <w:szCs w:val="24"/>
          </w:rPr>
          <m:t xml:space="preserve">=</m:t>
        </m:r>
        <m:f>
          <m:num>
            <m:r>
              <w:rPr>
                <w:rFonts w:ascii="Cambria Math" w:hAnsi="Cambria Math"/>
                <w:sz w:val="24"/>
                <w:szCs w:val="24"/>
              </w:rPr>
              <m:t xml:space="preserve">d</m:t>
            </m:r>
          </m:num>
          <m:den>
            <m:r>
              <w:rPr>
                <w:rFonts w:ascii="Cambria Math" w:hAnsi="Cambria Math"/>
                <w:sz w:val="24"/>
                <w:szCs w:val="24"/>
              </w:rPr>
              <m:t xml:space="preserve">D</m:t>
            </m:r>
          </m:den>
        </m:f>
      </m:oMath>
      <w:r>
        <w:rPr>
          <w:rFonts w:ascii="Times New Roman" w:hAnsi="Times New Roman"/>
        </w:rPr>
        <w:t>,</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m:oMath>
        <m:sSub>
          <m:e>
            <m:r>
              <w:rPr>
                <w:rFonts w:ascii="Cambria Math" w:hAnsi="Cambria Math"/>
                <w:sz w:val="24"/>
                <w:szCs w:val="24"/>
              </w:rPr>
              <m:t xml:space="preserve">ICR</m:t>
            </m:r>
          </m:e>
          <m:sub>
            <m:r>
              <w:rPr>
                <w:rFonts w:ascii="Cambria Math" w:hAnsi="Cambria Math"/>
                <w:sz w:val="24"/>
                <w:szCs w:val="24"/>
              </w:rPr>
              <m:t xml:space="preserve">raw</m:t>
            </m:r>
          </m:sub>
        </m:sSub>
        <m:r>
          <m:rPr>
            <m:sty m:val="p"/>
          </m:rPr>
          <w:rPr>
            <w:rFonts w:ascii="Cambria Math" w:hAnsi="Cambria Math"/>
            <w:sz w:val="24"/>
            <w:szCs w:val="24"/>
          </w:rPr>
          <m:t xml:space="preserve">=</m:t>
        </m:r>
        <m:f>
          <m:num>
            <m:nary>
              <m:naryPr>
                <m:chr m:val="∑"/>
              </m:naryPr>
              <m:sub>
                <m:r>
                  <w:rPr>
                    <w:rFonts w:ascii="Cambria Math" w:hAnsi="Cambria Math"/>
                    <w:sz w:val="24"/>
                    <w:szCs w:val="24"/>
                  </w:rPr>
                  <m:t xml:space="preserve">j</m:t>
                </m:r>
                <m:r>
                  <m:rPr>
                    <m:sty m:val="p"/>
                  </m:rPr>
                  <w:rPr>
                    <w:rFonts w:ascii="Cambria Math" w:hAnsi="Cambria Math"/>
                    <w:sz w:val="24"/>
                    <w:szCs w:val="24"/>
                  </w:rPr>
                  <m:t xml:space="preserve">∈</m:t>
                </m:r>
                <m:r>
                  <w:rPr>
                    <w:rFonts w:ascii="Cambria Math" w:hAnsi="Cambria Math"/>
                    <w:sz w:val="24"/>
                    <w:szCs w:val="24"/>
                  </w:rPr>
                  <m:t xml:space="preserve">E</m:t>
                </m:r>
              </m:sub>
              <m:e>
                <m:r>
                  <m:rPr>
                    <m:sty m:val="p"/>
                  </m:rPr>
                  <w:rPr>
                    <w:rFonts w:ascii="Cambria Math" w:hAnsi="Cambria Math"/>
                    <w:sz w:val="24"/>
                    <w:szCs w:val="24"/>
                  </w:rPr>
                  <m:t xml:space="preserve">Var</m:t>
                </m:r>
                <m:d>
                  <m:dPr>
                    <m:begChr m:val="("/>
                    <m:endChr m:val=")"/>
                  </m:dPr>
                  <m:e>
                    <m:sSub>
                      <m:e>
                        <m:r>
                          <w:rPr>
                            <w:rFonts w:ascii="Cambria Math" w:hAnsi="Cambria Math"/>
                            <w:sz w:val="24"/>
                            <w:szCs w:val="24"/>
                          </w:rPr>
                          <m:t xml:space="preserve">X</m:t>
                        </m:r>
                      </m:e>
                      <m:sub>
                        <m:r>
                          <w:rPr>
                            <w:rFonts w:ascii="Cambria Math" w:hAnsi="Cambria Math"/>
                            <w:sz w:val="24"/>
                            <w:szCs w:val="24"/>
                          </w:rPr>
                          <m:t xml:space="preserve">j</m:t>
                        </m:r>
                      </m:sub>
                    </m:sSub>
                  </m:e>
                </m:d>
              </m:e>
            </m:nary>
          </m:num>
          <m:den>
            <m:nary>
              <m:naryPr>
                <m:chr m:val="∑"/>
              </m:naryPr>
              <m:sub>
                <m:r>
                  <w:rPr>
                    <w:rFonts w:ascii="Cambria Math" w:hAnsi="Cambria Math"/>
                    <w:sz w:val="24"/>
                    <w:szCs w:val="24"/>
                  </w:rPr>
                  <m:t xml:space="preserve">j</m:t>
                </m:r>
                <m:r>
                  <m:rPr>
                    <m:sty m:val="p"/>
                  </m:rPr>
                  <w:rPr>
                    <w:rFonts w:ascii="Cambria Math" w:hAnsi="Cambria Math"/>
                    <w:sz w:val="24"/>
                    <w:szCs w:val="24"/>
                  </w:rPr>
                  <m:t xml:space="preserve">=</m:t>
                </m:r>
                <m:r>
                  <m:rPr>
                    <m:sty m:val="p"/>
                  </m:rPr>
                  <w:rPr>
                    <w:rFonts w:ascii="Cambria Math" w:hAnsi="Cambria Math"/>
                    <w:sz w:val="24"/>
                    <w:szCs w:val="24"/>
                  </w:rPr>
                  <m:t xml:space="preserve">1</m:t>
                </m:r>
              </m:sub>
              <m:sup>
                <m:r>
                  <w:rPr>
                    <w:rFonts w:ascii="Cambria Math" w:hAnsi="Cambria Math"/>
                    <w:sz w:val="24"/>
                    <w:szCs w:val="24"/>
                  </w:rPr>
                  <m:t xml:space="preserve">D</m:t>
                </m:r>
              </m:sup>
              <m:e>
                <m:r>
                  <m:rPr>
                    <m:sty m:val="p"/>
                  </m:rPr>
                  <w:rPr>
                    <w:rFonts w:ascii="Cambria Math" w:hAnsi="Cambria Math"/>
                    <w:sz w:val="24"/>
                    <w:szCs w:val="24"/>
                  </w:rPr>
                  <m:t xml:space="preserve">Var</m:t>
                </m:r>
                <m:d>
                  <m:dPr>
                    <m:begChr m:val="("/>
                    <m:endChr m:val=")"/>
                  </m:dPr>
                  <m:e>
                    <m:sSub>
                      <m:e>
                        <m:r>
                          <w:rPr>
                            <w:rFonts w:ascii="Cambria Math" w:hAnsi="Cambria Math"/>
                            <w:sz w:val="24"/>
                            <w:szCs w:val="24"/>
                          </w:rPr>
                          <m:t xml:space="preserve">X</m:t>
                        </m:r>
                      </m:e>
                      <m:sub>
                        <m:r>
                          <w:rPr>
                            <w:rFonts w:ascii="Cambria Math" w:hAnsi="Cambria Math"/>
                            <w:sz w:val="24"/>
                            <w:szCs w:val="24"/>
                          </w:rPr>
                          <m:t xml:space="preserve">j</m:t>
                        </m:r>
                      </m:sub>
                    </m:sSub>
                  </m:e>
                </m:d>
              </m:e>
            </m:nary>
          </m:den>
        </m:f>
      </m:oMath>
      <w:r>
        <w:rPr>
          <w:rFonts w:ascii="Times New Roman" w:hAnsi="Times New Roman"/>
        </w:rPr>
        <w:t>,</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 xml:space="preserve">When IPD are available, principal component analysis (PCA) on the correlation matrix of the standardised variables </w:t>
      </w:r>
      <w:r>
        <w:rPr>
          <w:rFonts w:ascii="Times New Roman" w:hAnsi="Times New Roman"/>
          <w:vertAlign w:val="superscript"/>
        </w:rPr>
        <w:t>6</w:t>
      </w:r>
      <w:r>
        <w:rPr>
          <w:rFonts w:ascii="Times New Roman" w:hAnsi="Times New Roman"/>
          <w:i w:val="0"/>
        </w:rPr>
        <w:t xml:space="preserve"> gives two further estimators. The loading-based estimator sums the explained-variance ratios of components on which the endpoint has absolute loading at least 0.3:</w:t>
      </w:r>
    </w:p>
    <w:p>
      <w:pPr>
        <w:ind w:left="720"/>
      </w:pPr>
      <m:oMath>
        <m:sSub>
          <m:e>
            <m:r>
              <w:rPr>
                <w:rFonts w:ascii="Cambria Math" w:hAnsi="Cambria Math"/>
                <w:sz w:val="24"/>
                <w:szCs w:val="24"/>
              </w:rPr>
              <m:t xml:space="preserve">ICR</m:t>
            </m:r>
          </m:e>
          <m:sub>
            <m:r>
              <w:rPr>
                <w:rFonts w:ascii="Cambria Math" w:hAnsi="Cambria Math"/>
                <w:sz w:val="24"/>
                <w:szCs w:val="24"/>
              </w:rPr>
              <m:t xml:space="preserve">pca, loading</m:t>
            </m:r>
          </m:sub>
        </m:sSub>
        <m:r>
          <m:rPr>
            <m:sty m:val="p"/>
          </m:rPr>
          <w:rPr>
            <w:rFonts w:ascii="Cambria Math" w:hAnsi="Cambria Math"/>
            <w:sz w:val="24"/>
            <w:szCs w:val="24"/>
          </w:rPr>
          <m:t xml:space="preserve">=</m:t>
        </m:r>
        <m:f>
          <m:num>
            <m:nary>
              <m:naryPr>
                <m:chr m:val="∑"/>
              </m:naryPr>
              <m:sub>
                <m:r>
                  <w:rPr>
                    <w:rFonts w:ascii="Cambria Math" w:hAnsi="Cambria Math"/>
                    <w:sz w:val="24"/>
                    <w:szCs w:val="24"/>
                  </w:rPr>
                  <m:t xml:space="preserve">k</m:t>
                </m:r>
                <m:r>
                  <m:rPr>
                    <m:sty m:val="p"/>
                  </m:rPr>
                  <w:rPr>
                    <w:rFonts w:ascii="Cambria Math" w:hAnsi="Cambria Math"/>
                    <w:sz w:val="24"/>
                    <w:szCs w:val="24"/>
                  </w:rPr>
                  <m:t xml:space="preserve">∈</m:t>
                </m:r>
                <m:sSub>
                  <m:e>
                    <m:r>
                      <w:rPr>
                        <w:rFonts w:ascii="Cambria Math" w:hAnsi="Cambria Math"/>
                        <w:sz w:val="24"/>
                        <w:szCs w:val="24"/>
                      </w:rPr>
                      <m:t xml:space="preserve">S</m:t>
                    </m:r>
                  </m:e>
                  <m:sub>
                    <m:r>
                      <w:rPr>
                        <w:rFonts w:ascii="Cambria Math" w:hAnsi="Cambria Math"/>
                        <w:sz w:val="24"/>
                        <w:szCs w:val="24"/>
                      </w:rPr>
                      <m:t xml:space="preserve">E</m:t>
                    </m:r>
                  </m:sub>
                </m:sSub>
              </m:sub>
              <m:e>
                <m:sSub>
                  <m:e>
                    <m:r>
                      <w:rPr>
                        <w:rFonts w:ascii="Cambria Math" w:hAnsi="Cambria Math"/>
                        <w:sz w:val="24"/>
                        <w:szCs w:val="24"/>
                      </w:rPr>
                      <m:t xml:space="preserve">λ</m:t>
                    </m:r>
                  </m:e>
                  <m:sub>
                    <m:r>
                      <w:rPr>
                        <w:rFonts w:ascii="Cambria Math" w:hAnsi="Cambria Math"/>
                        <w:sz w:val="24"/>
                        <w:szCs w:val="24"/>
                      </w:rPr>
                      <m:t xml:space="preserve">k</m:t>
                    </m:r>
                  </m:sub>
                </m:sSub>
              </m:e>
            </m:nary>
          </m:num>
          <m:den>
            <m:nary>
              <m:naryPr>
                <m:chr m:val="∑"/>
              </m:naryPr>
              <m:sub>
                <m:r>
                  <w:rPr>
                    <w:rFonts w:ascii="Cambria Math" w:hAnsi="Cambria Math"/>
                    <w:sz w:val="24"/>
                    <w:szCs w:val="24"/>
                  </w:rPr>
                  <m:t xml:space="preserve">k</m:t>
                </m:r>
              </m:sub>
              <m:e>
                <m:sSub>
                  <m:e>
                    <m:r>
                      <w:rPr>
                        <w:rFonts w:ascii="Cambria Math" w:hAnsi="Cambria Math"/>
                        <w:sz w:val="24"/>
                        <w:szCs w:val="24"/>
                      </w:rPr>
                      <m:t xml:space="preserve">λ</m:t>
                    </m:r>
                  </m:e>
                  <m:sub>
                    <m:r>
                      <w:rPr>
                        <w:rFonts w:ascii="Cambria Math" w:hAnsi="Cambria Math"/>
                        <w:sz w:val="24"/>
                        <w:szCs w:val="24"/>
                      </w:rPr>
                      <m:t xml:space="preserve">k</m:t>
                    </m:r>
                  </m:sub>
                </m:sSub>
              </m:e>
            </m:nary>
          </m:den>
        </m:f>
      </m:oMath>
      <w:r>
        <w:rPr>
          <w:rFonts w:ascii="Times New Roman" w:hAnsi="Times New Roman"/>
        </w:rPr>
        <w:t>.</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m:oMath>
        <m:sSub>
          <m:e>
            <m:r>
              <w:rPr>
                <w:rFonts w:ascii="Cambria Math" w:hAnsi="Cambria Math"/>
                <w:sz w:val="24"/>
                <w:szCs w:val="24"/>
              </w:rPr>
              <m:t xml:space="preserve">ICR</m:t>
            </m:r>
          </m:e>
          <m:sub>
            <m:r>
              <w:rPr>
                <w:rFonts w:ascii="Cambria Math" w:hAnsi="Cambria Math"/>
                <w:sz w:val="24"/>
                <w:szCs w:val="24"/>
              </w:rPr>
              <m:t xml:space="preserve">pca, reg</m:t>
            </m:r>
          </m:sub>
        </m:sSub>
        <m:r>
          <m:rPr>
            <m:sty m:val="p"/>
          </m:rPr>
          <w:rPr>
            <w:rFonts w:ascii="Cambria Math" w:hAnsi="Cambria Math"/>
            <w:sz w:val="24"/>
            <w:szCs w:val="24"/>
          </w:rPr>
          <m:t xml:space="preserve">=</m:t>
        </m:r>
        <m:f>
          <m:num>
            <m:nary>
              <m:naryPr>
                <m:chr m:val="∑"/>
              </m:naryPr>
              <m:sub>
                <m:r>
                  <w:rPr>
                    <w:rFonts w:ascii="Cambria Math" w:hAnsi="Cambria Math"/>
                    <w:sz w:val="24"/>
                    <w:szCs w:val="24"/>
                  </w:rPr>
                  <m:t xml:space="preserve">k</m:t>
                </m:r>
              </m:sub>
              <m:e>
                <m:sSubSup>
                  <m:e>
                    <m:r>
                      <w:rPr>
                        <w:rFonts w:ascii="Cambria Math" w:hAnsi="Cambria Math"/>
                        <w:sz w:val="24"/>
                        <w:szCs w:val="24"/>
                      </w:rPr>
                      <m:t xml:space="preserve">β</m:t>
                    </m:r>
                  </m:e>
                  <m:sub>
                    <m:r>
                      <w:rPr>
                        <w:rFonts w:ascii="Cambria Math" w:hAnsi="Cambria Math"/>
                        <w:sz w:val="24"/>
                        <w:szCs w:val="24"/>
                      </w:rPr>
                      <m:t xml:space="preserve">k</m:t>
                    </m:r>
                  </m:sub>
                  <m:sup>
                    <m:r>
                      <w:rPr>
                        <w:rFonts w:ascii="Cambria Math" w:hAnsi="Cambria Math"/>
                        <w:sz w:val="24"/>
                        <w:szCs w:val="24"/>
                      </w:rPr>
                      <m:t xml:space="preserve">2</m:t>
                    </m:r>
                  </m:sup>
                </m:sSubSup>
                <m:sSub>
                  <m:e>
                    <m:r>
                      <w:rPr>
                        <w:rFonts w:ascii="Cambria Math" w:hAnsi="Cambria Math"/>
                        <w:sz w:val="24"/>
                        <w:szCs w:val="24"/>
                      </w:rPr>
                      <m:t xml:space="preserve">λ</m:t>
                    </m:r>
                  </m:e>
                  <m:sub>
                    <m:r>
                      <w:rPr>
                        <w:rFonts w:ascii="Cambria Math" w:hAnsi="Cambria Math"/>
                        <w:sz w:val="24"/>
                        <w:szCs w:val="24"/>
                      </w:rPr>
                      <m:t xml:space="preserve">k</m:t>
                    </m:r>
                  </m:sub>
                </m:sSub>
              </m:e>
            </m:nary>
          </m:num>
          <m:den>
            <m:d>
              <m:dPr>
                <m:begChr m:val="("/>
                <m:endChr m:val=")"/>
              </m:dPr>
              <m:e>
                <m:nary>
                  <m:naryPr>
                    <m:chr m:val="∑"/>
                  </m:naryPr>
                  <m:sub>
                    <m:r>
                      <w:rPr>
                        <w:rFonts w:ascii="Cambria Math" w:hAnsi="Cambria Math"/>
                        <w:sz w:val="24"/>
                        <w:szCs w:val="24"/>
                      </w:rPr>
                      <m:t xml:space="preserve">k</m:t>
                    </m:r>
                  </m:sub>
                  <m:e>
                    <m:sSub>
                      <m:e>
                        <m:r>
                          <w:rPr>
                            <w:rFonts w:ascii="Cambria Math" w:hAnsi="Cambria Math"/>
                            <w:sz w:val="24"/>
                            <w:szCs w:val="24"/>
                          </w:rPr>
                          <m:t xml:space="preserve">λ</m:t>
                        </m:r>
                      </m:e>
                      <m:sub>
                        <m:r>
                          <w:rPr>
                            <w:rFonts w:ascii="Cambria Math" w:hAnsi="Cambria Math"/>
                            <w:sz w:val="24"/>
                            <w:szCs w:val="24"/>
                          </w:rPr>
                          <m:t xml:space="preserve">k</m:t>
                        </m:r>
                      </m:sub>
                    </m:sSub>
                  </m:e>
                </m:nary>
                <m:r>
                  <m:rPr>
                    <m:sty m:val="p"/>
                  </m:rPr>
                  <w:rPr>
                    <w:rFonts w:ascii="Cambria Math" w:hAnsi="Cambria Math"/>
                    <w:sz w:val="24"/>
                    <w:szCs w:val="24"/>
                  </w:rPr>
                  <m:t xml:space="preserve">+</m:t>
                </m:r>
                <m:r>
                  <m:rPr>
                    <m:sty m:val="p"/>
                  </m:rPr>
                  <w:rPr>
                    <w:rFonts w:ascii="Cambria Math" w:hAnsi="Cambria Math"/>
                    <w:sz w:val="24"/>
                    <w:szCs w:val="24"/>
                  </w:rPr>
                  <m:t xml:space="preserve">Var</m:t>
                </m:r>
                <m:d>
                  <m:dPr>
                    <m:begChr m:val="("/>
                    <m:endChr m:val=")"/>
                  </m:dPr>
                  <m:e>
                    <m:r>
                      <w:rPr>
                        <w:rFonts w:ascii="Cambria Math" w:hAnsi="Cambria Math"/>
                        <w:sz w:val="24"/>
                        <w:szCs w:val="24"/>
                      </w:rPr>
                      <m:t xml:space="preserve">Y</m:t>
                    </m:r>
                  </m:e>
                </m:d>
              </m:e>
            </m:d>
          </m:den>
        </m:f>
      </m:oMath>
      <w:r>
        <w:rPr>
          <w:rFonts w:ascii="Times New Roman" w:hAnsi="Times New Roman"/>
        </w:rPr>
        <w:t>.</w:t>
      </w:r>
    </w:p>
    <w:p>
      <w:r>
        <w:rPr>
          <w:rFonts w:ascii="Times New Roman" w:hAnsi="Times New Roman"/>
          <w:i w:val="0"/>
        </w:rPr>
        <w:t>The loading threshold of 0.3 corresponds roughly to a squared loading of 0.1, i.e. a variable contributing at least about 10% of a component's variance;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 xml:space="preserve">Effect estimates were pooled with random-effects models using three estimators of tau-squared: DerSimonian-Laird </w:t>
      </w:r>
      <w:r>
        <w:rPr>
          <w:rFonts w:ascii="Times New Roman" w:hAnsi="Times New Roman"/>
          <w:vertAlign w:val="superscript"/>
        </w:rPr>
        <w:t>3</w:t>
      </w:r>
      <w:r>
        <w:rPr>
          <w:rFonts w:ascii="Times New Roman" w:hAnsi="Times New Roman"/>
          <w:i w:val="0"/>
        </w:rPr>
        <w:t xml:space="preserve">, restricted maximum likelihood and Paule-Mandel </w:t>
      </w:r>
      <w:r>
        <w:rPr>
          <w:rFonts w:ascii="Times New Roman" w:hAnsi="Times New Roman"/>
          <w:vertAlign w:val="superscript"/>
        </w:rPr>
        <w:t>7,8</w:t>
      </w:r>
      <w:r>
        <w:rPr>
          <w:rFonts w:ascii="Times New Roman" w:hAnsi="Times New Roman"/>
          <w:i w:val="0"/>
        </w:rPr>
        <w:t xml:space="preserve">. Confidence intervals were computed both with the Wald approach and with the Hartung-Knapp adjustment </w:t>
      </w:r>
      <w:r>
        <w:rPr>
          <w:rFonts w:ascii="Times New Roman" w:hAnsi="Times New Roman"/>
          <w:vertAlign w:val="superscript"/>
        </w:rPr>
        <w:t>9</w:t>
      </w:r>
      <w:r>
        <w:rPr>
          <w:rFonts w:ascii="Times New Roman" w:hAnsi="Times New Roman"/>
          <w:i w:val="0"/>
        </w:rPr>
        <w:t xml:space="preserve">, and 95% prediction intervals were computed where k &gt; 2 </w:t>
      </w:r>
      <w:r>
        <w:rPr>
          <w:rFonts w:ascii="Times New Roman" w:hAnsi="Times New Roman"/>
          <w:vertAlign w:val="superscript"/>
        </w:rPr>
        <w:t>10,11</w:t>
      </w:r>
      <w:r>
        <w:rPr>
          <w:rFonts w:ascii="Times New Roman" w:hAnsi="Times New Roman"/>
          <w:i w:val="0"/>
        </w:rPr>
        <w:t>.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 xml:space="preserve">The simulation follows the ADEMP structure </w:t>
      </w:r>
      <w:r>
        <w:rPr>
          <w:rFonts w:ascii="Times New Roman" w:hAnsi="Times New Roman"/>
          <w:vertAlign w:val="superscript"/>
        </w:rPr>
        <w:t>4</w:t>
      </w:r>
      <w:r>
        <w:rPr>
          <w:rFonts w:ascii="Times New Roman" w:hAnsi="Times New Roman"/>
          <w:i w:val="0"/>
        </w:rPr>
        <w:t>.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study split equally between the two arms,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 xml:space="preserve">Two collections were assembled from published reports: 5 statin trials </w:t>
      </w:r>
      <w:r>
        <w:rPr>
          <w:rFonts w:ascii="Times New Roman" w:hAnsi="Times New Roman"/>
          <w:vertAlign w:val="superscript"/>
        </w:rPr>
        <w:t>12,13,14,15,16</w:t>
      </w:r>
      <w:r>
        <w:rPr>
          <w:rFonts w:ascii="Times New Roman" w:hAnsi="Times New Roman"/>
          <w:i w:val="0"/>
        </w:rPr>
        <w:t xml:space="preserve"> and 4 intensive glucose-control trials </w:t>
      </w:r>
      <w:r>
        <w:rPr>
          <w:rFonts w:ascii="Times New Roman" w:hAnsi="Times New Roman"/>
          <w:vertAlign w:val="superscript"/>
        </w:rPr>
        <w:t>17,18,19,20</w:t>
      </w:r>
      <w:r>
        <w:rPr>
          <w:rFonts w:ascii="Times New Roman" w:hAnsi="Times New Roman"/>
          <w:i w:val="0"/>
        </w:rPr>
        <w:t>,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 xml:space="preserve">The International Stroke Trial </w:t>
      </w:r>
      <w:r>
        <w:rPr>
          <w:rFonts w:ascii="Times New Roman" w:hAnsi="Times New Roman"/>
          <w:vertAlign w:val="superscript"/>
        </w:rPr>
        <w:t>21,22</w:t>
      </w:r>
      <w:r>
        <w:rPr>
          <w:rFonts w:ascii="Times New Roman" w:hAnsi="Times New Roman"/>
          <w:i w:val="0"/>
        </w:rPr>
        <w:t xml:space="preserve">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 xml:space="preserve">The prism forest plot is a standard forest plot in which marker colour encodes ICR and marker size encodes a second ICR variant when available, with a side panel listing the values. Its purpose is to make structural differences visible next to the effect estimates </w:t>
      </w:r>
      <w:r>
        <w:rPr>
          <w:rFonts w:ascii="Times New Roman" w:hAnsi="Times New Roman"/>
          <w:vertAlign w:val="superscript"/>
        </w:rPr>
        <w:t>23</w:t>
      </w:r>
      <w:r>
        <w:rPr>
          <w:rFonts w:ascii="Times New Roman" w:hAnsi="Times New Roman"/>
          <w:i w:val="0"/>
        </w:rPr>
        <w:t>;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jc w:val="center"/>
      </w:pPr>
      <w:r>
        <w:drawing>
          <wp:inline xmlns:a="http://schemas.openxmlformats.org/drawingml/2006/main" xmlns:pic="http://schemas.openxmlformats.org/drawingml/2006/picture">
            <wp:extent cx="5486400" cy="3632638"/>
            <wp:docPr id="2" name="Picture 2"/>
            <wp:cNvGraphicFramePr>
              <a:graphicFrameLocks noChangeAspect="1"/>
            </wp:cNvGraphicFramePr>
            <a:graphic>
              <a:graphicData uri="http://schemas.openxmlformats.org/drawingml/2006/picture">
                <pic:pic>
                  <pic:nvPicPr>
                    <pic:cNvPr id="0" name="fig1_scenario_comparison.png"/>
                    <pic:cNvPicPr/>
                  </pic:nvPicPr>
                  <pic:blipFill>
                    <a:blip r:embed="rId10"/>
                    <a:stretch>
                      <a:fillRect/>
                    </a:stretch>
                  </pic:blipFill>
                  <pic:spPr>
                    <a:xfrm>
                      <a:off x="0" y="0"/>
                      <a:ext cx="5486400" cy="3632638"/>
                    </a:xfrm>
                    <a:prstGeom prst="rect"/>
                  </pic:spPr>
                </pic:pic>
              </a:graphicData>
            </a:graphic>
          </wp:inline>
        </w:drawing>
      </w:r>
    </w:p>
    <w:p>
      <w:pPr>
        <w:spacing w:before="240"/>
      </w:pPr>
      <w:r>
        <w:rPr>
          <w:rFonts w:ascii="Times New Roman" w:hAnsi="Times New Roman"/>
          <w:i/>
          <w:sz w:val="20"/>
        </w:rPr>
        <w:t>Figure 2. Simulation results for the uniform-ICR (Scenario A) and heterogeneous-ICR (Scenario B) designs: distributions of I-squared, tau-squared, ICR discrepancy and the pooled effect.</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r>
        <w:rPr>
          <w:rFonts w:ascii="Times New Roman" w:hAnsi="Times New Roman"/>
          <w:i w:val="0"/>
        </w:rPr>
        <w:t>Figure 3 shows the statin collection as a prism forest plot, in which ICR_std is visible alongside the effect estimates. The same display for the intensive glucose-control collection is given in Supplementary Figure S1.</w:t>
      </w:r>
    </w:p>
    <w:p>
      <w:pPr>
        <w:jc w:val="center"/>
      </w:pPr>
      <w:r>
        <w:drawing>
          <wp:inline xmlns:a="http://schemas.openxmlformats.org/drawingml/2006/main" xmlns:pic="http://schemas.openxmlformats.org/drawingml/2006/picture">
            <wp:extent cx="5486400" cy="2314307"/>
            <wp:docPr id="3" name="Picture 3"/>
            <wp:cNvGraphicFramePr>
              <a:graphicFrameLocks noChangeAspect="1"/>
            </wp:cNvGraphicFramePr>
            <a:graphic>
              <a:graphicData uri="http://schemas.openxmlformats.org/drawingml/2006/picture">
                <pic:pic>
                  <pic:nvPicPr>
                    <pic:cNvPr id="0" name="fig_linko_prism_statin.png"/>
                    <pic:cNvPicPr/>
                  </pic:nvPicPr>
                  <pic:blipFill>
                    <a:blip r:embed="rId11"/>
                    <a:stretch>
                      <a:fillRect/>
                    </a:stretch>
                  </pic:blipFill>
                  <pic:spPr>
                    <a:xfrm>
                      <a:off x="0" y="0"/>
                      <a:ext cx="5486400" cy="2314307"/>
                    </a:xfrm>
                    <a:prstGeom prst="rect"/>
                  </pic:spPr>
                </pic:pic>
              </a:graphicData>
            </a:graphic>
          </wp:inline>
        </w:drawing>
      </w:r>
    </w:p>
    <w:p>
      <w:pPr>
        <w:spacing w:before="240"/>
      </w:pPr>
      <w:r>
        <w:rPr>
          <w:rFonts w:ascii="Times New Roman" w:hAnsi="Times New Roman"/>
          <w:i/>
          <w:sz w:val="20"/>
        </w:rPr>
        <w:t>Figure 3. Prism forest plot for the statin collection. Marker colour encodes ICR_std; the side panel lists the values. The display is descriptive.</w:t>
      </w:r>
    </w:p>
    <w:p>
      <w:pPr>
        <w:jc w:val="center"/>
      </w:pPr>
      <w:r>
        <w:drawing>
          <wp:inline xmlns:a="http://schemas.openxmlformats.org/drawingml/2006/main" xmlns:pic="http://schemas.openxmlformats.org/drawingml/2006/picture">
            <wp:extent cx="5486400" cy="2317936"/>
            <wp:docPr id="4" name="Picture 4"/>
            <wp:cNvGraphicFramePr>
              <a:graphicFrameLocks noChangeAspect="1"/>
            </wp:cNvGraphicFramePr>
            <a:graphic>
              <a:graphicData uri="http://schemas.openxmlformats.org/drawingml/2006/picture">
                <pic:pic>
                  <pic:nvPicPr>
                    <pic:cNvPr id="0" name="fig_linko_prism_glucose_control.png"/>
                    <pic:cNvPicPr/>
                  </pic:nvPicPr>
                  <pic:blipFill>
                    <a:blip r:embed="rId12"/>
                    <a:stretch>
                      <a:fillRect/>
                    </a:stretch>
                  </pic:blipFill>
                  <pic:spPr>
                    <a:xfrm>
                      <a:off x="0" y="0"/>
                      <a:ext cx="5486400" cy="2317936"/>
                    </a:xfrm>
                    <a:prstGeom prst="rect"/>
                  </pic:spPr>
                </pic:pic>
              </a:graphicData>
            </a:graphic>
          </wp:inline>
        </w:drawing>
      </w:r>
    </w:p>
    <w:p>
      <w:pPr>
        <w:spacing w:before="240"/>
      </w:pPr>
      <w:r>
        <w:rPr>
          <w:rFonts w:ascii="Times New Roman" w:hAnsi="Times New Roman"/>
          <w:i/>
          <w:sz w:val="20"/>
        </w:rPr>
        <w:t>Supplementary Figure S1. Prism forest plot for the intensive glucose-control collection.</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4).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(Supplementary Table S1, Supplementary Figure S2).</w:t>
      </w:r>
    </w:p>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pPr>
        <w:jc w:val="center"/>
      </w:pPr>
      <w:r>
        <w:drawing>
          <wp:inline xmlns:a="http://schemas.openxmlformats.org/drawingml/2006/main" xmlns:pic="http://schemas.openxmlformats.org/drawingml/2006/picture">
            <wp:extent cx="5486400" cy="3899884"/>
            <wp:docPr id="5" name="Picture 5"/>
            <wp:cNvGraphicFramePr>
              <a:graphicFrameLocks noChangeAspect="1"/>
            </wp:cNvGraphicFramePr>
            <a:graphic>
              <a:graphicData uri="http://schemas.openxmlformats.org/drawingml/2006/picture">
                <pic:pic>
                  <pic:nvPicPr>
                    <pic:cNvPr id="0" name="fig_pca_ist_analysis.png"/>
                    <pic:cNvPicPr/>
                  </pic:nvPicPr>
                  <pic:blipFill>
                    <a:blip r:embed="rId13"/>
                    <a:stretch>
                      <a:fillRect/>
                    </a:stretch>
                  </pic:blipFill>
                  <pic:spPr>
                    <a:xfrm>
                      <a:off x="0" y="0"/>
                      <a:ext cx="5486400" cy="3899884"/>
                    </a:xfrm>
                    <a:prstGeom prst="rect"/>
                  </pic:spPr>
                </pic:pic>
              </a:graphicData>
            </a:graphic>
          </wp:inline>
        </w:drawing>
      </w:r>
    </w:p>
    <w:p>
      <w:pPr>
        <w:spacing w:before="240"/>
      </w:pPr>
      <w:r>
        <w:rPr>
          <w:rFonts w:ascii="Times New Roman" w:hAnsi="Times New Roman"/>
          <w:i/>
          <w:sz w:val="20"/>
        </w:rPr>
        <w:t>Figure 4. Principal-component-based ICR in eight International Stroke Trial country groups: estimator values, their dispersion, and their relation to 14-day mortality.</w:t>
      </w:r>
    </w:p>
    <w:p>
      <w:pPr>
        <w:jc w:val="center"/>
      </w:pPr>
      <w:r>
        <w:drawing>
          <wp:inline xmlns:a="http://schemas.openxmlformats.org/drawingml/2006/main" xmlns:pic="http://schemas.openxmlformats.org/drawingml/2006/picture">
            <wp:extent cx="5486400" cy="2078892"/>
            <wp:docPr id="6" name="Picture 6"/>
            <wp:cNvGraphicFramePr>
              <a:graphicFrameLocks noChangeAspect="1"/>
            </wp:cNvGraphicFramePr>
            <a:graphic>
              <a:graphicData uri="http://schemas.openxmlformats.org/drawingml/2006/picture">
                <pic:pic>
                  <pic:nvPicPr>
                    <pic:cNvPr id="0" name="fig_loo_sensitivity.png"/>
                    <pic:cNvPicPr/>
                  </pic:nvPicPr>
                  <pic:blipFill>
                    <a:blip r:embed="rId14"/>
                    <a:stretch>
                      <a:fillRect/>
                    </a:stretch>
                  </pic:blipFill>
                  <pic:spPr>
                    <a:xfrm>
                      <a:off x="0" y="0"/>
                      <a:ext cx="5486400" cy="2078892"/>
                    </a:xfrm>
                    <a:prstGeom prst="rect"/>
                  </pic:spPr>
                </pic:pic>
              </a:graphicData>
            </a:graphic>
          </wp:inline>
        </w:drawing>
      </w:r>
    </w:p>
    <w:p>
      <w:pPr>
        <w:spacing w:before="240"/>
      </w:pPr>
      <w:r>
        <w:rPr>
          <w:rFonts w:ascii="Times New Roman" w:hAnsi="Times New Roman"/>
          <w:i/>
          <w:sz w:val="20"/>
        </w:rPr>
        <w:t>Supplementary Figure S2. Leave-one-out recomputation of the association between each PCA-based ICR estimator and 14-day mortality across the eight country groups.</w:t>
      </w:r>
    </w:p>
    <w:p>
      <w:r>
        <w:rPr>
          <w:rFonts w:ascii="Times New Roman" w:hAnsi="Times New Roman"/>
          <w:i w:val="0"/>
        </w:rPr>
        <w:t>Figure 5 displays the same groups as a prism forest plot, with both PCA-based estimators encoded simultaneously.</w:t>
      </w:r>
    </w:p>
    <w:p>
      <w:pPr>
        <w:jc w:val="center"/>
      </w:pPr>
      <w:r>
        <w:drawing>
          <wp:inline xmlns:a="http://schemas.openxmlformats.org/drawingml/2006/main" xmlns:pic="http://schemas.openxmlformats.org/drawingml/2006/picture">
            <wp:extent cx="5486400" cy="2951068"/>
            <wp:docPr id="7" name="Picture 7"/>
            <wp:cNvGraphicFramePr>
              <a:graphicFrameLocks noChangeAspect="1"/>
            </wp:cNvGraphicFramePr>
            <a:graphic>
              <a:graphicData uri="http://schemas.openxmlformats.org/drawingml/2006/picture">
                <pic:pic>
                  <pic:nvPicPr>
                    <pic:cNvPr id="0" name="fig_linko_prism_ist.png"/>
                    <pic:cNvPicPr/>
                  </pic:nvPicPr>
                  <pic:blipFill>
                    <a:blip r:embed="rId15"/>
                    <a:stretch>
                      <a:fillRect/>
                    </a:stretch>
                  </pic:blipFill>
                  <pic:spPr>
                    <a:xfrm>
                      <a:off x="0" y="0"/>
                      <a:ext cx="5486400" cy="2951068"/>
                    </a:xfrm>
                    <a:prstGeom prst="rect"/>
                  </pic:spPr>
                </pic:pic>
              </a:graphicData>
            </a:graphic>
          </wp:inline>
        </w:drawing>
      </w:r>
    </w:p>
    <w:p>
      <w:pPr>
        <w:spacing w:before="240"/>
      </w:pPr>
      <w:r>
        <w:rPr>
          <w:rFonts w:ascii="Times New Roman" w:hAnsi="Times New Roman"/>
          <w:i/>
          <w:sz w:val="20"/>
        </w:rPr>
        <w:t>Figure 5. Prism forest plot for the International Stroke Trial country groups, with colour encoding the loading-based estimator and marker size the regression-based estimator. Rates are shown for display; the groups are not independent trials.</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7). We report this negative result because ICR-guided prioritisation is an obvious application of the measure and, on this evidence, it is not supported.</w:t>
      </w:r>
    </w:p>
    <w:p>
      <w:pPr>
        <w:pStyle w:val="Heading1"/>
      </w:pPr>
      <w:r>
        <w:rPr>
          <w:rFonts w:ascii="Times New Roman" w:hAnsi="Times New Roman"/>
        </w:rPr>
        <w:t>4 Discussion</w:t>
      </w:r>
    </w:p>
    <w:p>
      <w:r>
        <w:rPr>
          <w:rFonts w:ascii="Times New Roman" w:hAnsi="Times New Roman"/>
          <w:i w:val="0"/>
        </w:rPr>
        <w:t>We introduced the LINKO framework and defined its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 xml:space="preserve">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w:t>
      </w:r>
      <w:r>
        <w:rPr>
          <w:rFonts w:ascii="Times New Roman" w:hAnsi="Times New Roman"/>
          <w:vertAlign w:val="superscript"/>
        </w:rPr>
        <w:t>24</w:t>
      </w:r>
      <w:r>
        <w:rPr>
          <w:rFonts w:ascii="Times New Roman" w:hAnsi="Times New Roman"/>
          <w:i w:val="0"/>
        </w:rPr>
        <w:t xml:space="preserve"> and funnel-plot diagnostics </w:t>
      </w:r>
      <w:r>
        <w:rPr>
          <w:rFonts w:ascii="Times New Roman" w:hAnsi="Times New Roman"/>
          <w:vertAlign w:val="superscript"/>
        </w:rPr>
        <w:t>25</w:t>
      </w:r>
      <w:r>
        <w:rPr>
          <w:rFonts w:ascii="Times New Roman" w:hAnsi="Times New Roman"/>
          <w:i w:val="0"/>
        </w:rPr>
        <w:t xml:space="preserve">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LINKO framework proposes the Information Contribution Ratio as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Acknowledgements</w:t>
      </w:r>
    </w:p>
    <w:p>
      <w:r>
        <w:rPr>
          <w:rFonts w:ascii="Times New Roman" w:hAnsi="Times New Roman"/>
          <w:i w:val="0"/>
        </w:rPr>
        <w:t>[To be completed]</w:t>
      </w:r>
    </w:p>
    <w:p>
      <w:pPr>
        <w:pStyle w:val="Heading1"/>
      </w:pPr>
      <w:r>
        <w:rPr>
          <w:rFonts w:ascii="Times New Roman" w:hAnsi="Times New Roman"/>
        </w:rPr>
        <w:t>Conflict of interest</w:t>
      </w:r>
    </w:p>
    <w:p>
      <w:r>
        <w:rPr>
          <w:rFonts w:ascii="Times New Roman" w:hAnsi="Times New Roman"/>
          <w:i w:val="0"/>
        </w:rPr>
        <w:t>The author declares no conflict of interest.</w:t>
      </w:r>
    </w:p>
    <w:p>
      <w:pPr>
        <w:pStyle w:val="Heading1"/>
      </w:pPr>
      <w:r>
        <w:rPr>
          <w:rFonts w:ascii="Times New Roman" w:hAnsi="Times New Roman"/>
        </w:rPr>
        <w:t>Funding</w:t>
      </w:r>
    </w:p>
    <w:p>
      <w:r>
        <w:rPr>
          <w:rFonts w:ascii="Times New Roman" w:hAnsi="Times New Roman"/>
          <w:i w:val="0"/>
        </w:rPr>
        <w:t>[To be completed]</w:t>
      </w:r>
    </w:p>
    <w:p>
      <w:pPr>
        <w:pStyle w:val="Heading1"/>
      </w:pPr>
      <w:r>
        <w:rPr>
          <w:rFonts w:ascii="Times New Roman" w:hAnsi="Times New Roman"/>
        </w:rPr>
        <w:t>Data availability statement</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5ac2c549a1ba).</w:t>
      </w:r>
    </w:p>
    <w:p>
      <w:pPr>
        <w:pStyle w:val="Heading1"/>
      </w:pPr>
      <w:r>
        <w:rPr>
          <w:rFonts w:ascii="Times New Roman" w:hAnsi="Times New Roman"/>
        </w:rPr>
        <w:t>Ethics</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1. Higgins JPT, Thompson SG, Deeks JJ, Altman DG. Measuring inconsistency in meta-analyses. BMJ. 2003;327:557-560.</w:t>
      </w:r>
    </w:p>
    <w:p>
      <w:pPr>
        <w:spacing w:after="40"/>
      </w:pPr>
      <w:r>
        <w:rPr>
          <w:rFonts w:ascii="Times New Roman" w:hAnsi="Times New Roman"/>
          <w:i w:val="0"/>
        </w:rPr>
        <w:t>2. Higgins JPT, Thomas J, Chandler J, et al. Cochrane Handbook for Systematic Reviews of Interventions. Version 6.4. Chichester: Wiley; 2023.</w:t>
      </w:r>
    </w:p>
    <w:p>
      <w:pPr>
        <w:spacing w:after="40"/>
      </w:pPr>
      <w:r>
        <w:rPr>
          <w:rFonts w:ascii="Times New Roman" w:hAnsi="Times New Roman"/>
          <w:i w:val="0"/>
        </w:rPr>
        <w:t>3. DerSimonian R, Laird N. Meta-analysis in clinical trials. Control Clin Trials. 1986;7:177-188.</w:t>
      </w:r>
    </w:p>
    <w:p>
      <w:pPr>
        <w:spacing w:after="40"/>
      </w:pPr>
      <w:r>
        <w:rPr>
          <w:rFonts w:ascii="Times New Roman" w:hAnsi="Times New Roman"/>
          <w:i w:val="0"/>
        </w:rPr>
        <w:t>4. Morris TP, White IR, Crowther MJ. Using simulation studies to evaluate statistical methods. Stat Med. 2019;38:2074-2102.</w:t>
      </w:r>
    </w:p>
    <w:p>
      <w:pPr>
        <w:spacing w:after="40"/>
      </w:pPr>
      <w:r>
        <w:rPr>
          <w:rFonts w:ascii="Times New Roman" w:hAnsi="Times New Roman"/>
          <w:i w:val="0"/>
        </w:rPr>
        <w:t>5. Rubin DB. Causal inference using potential outcomes. J Am Stat Assoc. 2005;100:322-331.</w:t>
      </w:r>
    </w:p>
    <w:p>
      <w:pPr>
        <w:spacing w:after="40"/>
      </w:pPr>
      <w:r>
        <w:rPr>
          <w:rFonts w:ascii="Times New Roman" w:hAnsi="Times New Roman"/>
          <w:i w:val="0"/>
        </w:rPr>
        <w:t>6. Jolliffe IT, Cadima J. Principal component analysis: a review and recent developments. Philos Trans R Soc A. 2016;374:20150202.</w:t>
      </w:r>
    </w:p>
    <w:p>
      <w:pPr>
        <w:spacing w:after="40"/>
      </w:pPr>
      <w:r>
        <w:rPr>
          <w:rFonts w:ascii="Times New Roman" w:hAnsi="Times New Roman"/>
          <w:i w:val="0"/>
        </w:rPr>
        <w:t>7. Veroniki AA, Jackson D, Viechtbauer W, et al. Methods to estimate the between-study variance and its uncertainty in meta-analysis. Res Synth Methods. 2016;7:55-79.</w:t>
      </w:r>
    </w:p>
    <w:p>
      <w:pPr>
        <w:spacing w:after="40"/>
      </w:pPr>
      <w:r>
        <w:rPr>
          <w:rFonts w:ascii="Times New Roman" w:hAnsi="Times New Roman"/>
          <w:i w:val="0"/>
        </w:rPr>
        <w:t>8. Paule RC, Mandel J. Consensus values and weighting factors. J Res Natl Bur Stand. 1982;87:377-385.</w:t>
      </w:r>
    </w:p>
    <w:p>
      <w:pPr>
        <w:spacing w:after="40"/>
      </w:pPr>
      <w:r>
        <w:rPr>
          <w:rFonts w:ascii="Times New Roman" w:hAnsi="Times New Roman"/>
          <w:i w:val="0"/>
        </w:rPr>
        <w:t>9. Hartung J, Knapp G. A refined method for the meta-analysis of controlled clinical trials with binary outcome. Stat Med. 2001;20:3875-3889.</w:t>
      </w:r>
    </w:p>
    <w:p>
      <w:pPr>
        <w:spacing w:after="40"/>
      </w:pPr>
      <w:r>
        <w:rPr>
          <w:rFonts w:ascii="Times New Roman" w:hAnsi="Times New Roman"/>
          <w:i w:val="0"/>
        </w:rPr>
        <w:t>10. IntHout J, Ioannidis JPA, Rovers MM, Goeman JJ. Plea for routinely presenting prediction intervals in meta-analysis. BMJ Open. 2016;6:e010247.</w:t>
      </w:r>
    </w:p>
    <w:p>
      <w:pPr>
        <w:spacing w:after="40"/>
      </w:pPr>
      <w:r>
        <w:rPr>
          <w:rFonts w:ascii="Times New Roman" w:hAnsi="Times New Roman"/>
          <w:i w:val="0"/>
        </w:rPr>
        <w:t>11. Riley RD, Higgins JPT, Deeks JJ. Interpretation of random effects meta-analyses. BMJ. 2011;342:d549.</w:t>
      </w:r>
    </w:p>
    <w:p>
      <w:pPr>
        <w:spacing w:after="40"/>
      </w:pPr>
      <w:r>
        <w:rPr>
          <w:rFonts w:ascii="Times New Roman" w:hAnsi="Times New Roman"/>
          <w:i w:val="0"/>
        </w:rPr>
        <w:t>12. Scandinavian Simvastatin Survival Study Group. Randomised trial of cholesterol lowering in 4444 patients with coronary heart disease (4S). Lancet. 1994;344:1383-1389.</w:t>
      </w:r>
    </w:p>
    <w:p>
      <w:pPr>
        <w:spacing w:after="40"/>
      </w:pPr>
      <w:r>
        <w:rPr>
          <w:rFonts w:ascii="Times New Roman" w:hAnsi="Times New Roman"/>
          <w:i w:val="0"/>
        </w:rPr>
        <w:t>13. Shepherd J, Cobbe SM, Ford I, et al. Prevention of coronary heart disease with pravastatin in men with hypercholesterolemia. N Engl J Med. 1995;333:1301-1307.</w:t>
      </w:r>
    </w:p>
    <w:p>
      <w:pPr>
        <w:spacing w:after="40"/>
      </w:pPr>
      <w:r>
        <w:rPr>
          <w:rFonts w:ascii="Times New Roman" w:hAnsi="Times New Roman"/>
          <w:i w:val="0"/>
        </w:rPr>
        <w:t>14. Sacks FM, Pfeffer MA, Moye LA, et al. The effect of pravastatin on coronary events after myocardial infarction in patients with average cholesterol levels. N Engl J Med. 1996;335:1001-1009.</w:t>
      </w:r>
    </w:p>
    <w:p>
      <w:pPr>
        <w:spacing w:after="40"/>
      </w:pPr>
      <w:r>
        <w:rPr>
          <w:rFonts w:ascii="Times New Roman" w:hAnsi="Times New Roman"/>
          <w:i w:val="0"/>
        </w:rPr>
        <w:t>15. The Long-Term Intervention with Pravastatin in Ischaemic Disease (LIPID) Study Group. Prevention of cardiovascular events and death with pravastatin in patients with coronary heart disease. N Engl J Med. 1998;339:1349-1357.</w:t>
      </w:r>
    </w:p>
    <w:p>
      <w:pPr>
        <w:spacing w:after="40"/>
      </w:pPr>
      <w:r>
        <w:rPr>
          <w:rFonts w:ascii="Times New Roman" w:hAnsi="Times New Roman"/>
          <w:i w:val="0"/>
        </w:rPr>
        <w:t>16. Downs JR, Clearfield M, Weis S, et al. Primary prevention of acute coronary events with lovastatin in men and women with average cholesterol levels (AFCAPS/TexCAPS). JAMA. 1998;279:1615-1622.</w:t>
      </w:r>
    </w:p>
    <w:p>
      <w:pPr>
        <w:spacing w:after="40"/>
      </w:pPr>
      <w:r>
        <w:rPr>
          <w:rFonts w:ascii="Times New Roman" w:hAnsi="Times New Roman"/>
          <w:i w:val="0"/>
        </w:rPr>
        <w:t>17. UK Prospective Diabetes Study (UKPDS) Group. Intensive blood-glucose control with sulphonylureas or insulin compared with conventional treatment (UKPDS 33). Lancet. 1998;352:837-853.</w:t>
      </w:r>
    </w:p>
    <w:p>
      <w:pPr>
        <w:spacing w:after="40"/>
      </w:pPr>
      <w:r>
        <w:rPr>
          <w:rFonts w:ascii="Times New Roman" w:hAnsi="Times New Roman"/>
          <w:i w:val="0"/>
        </w:rPr>
        <w:t>18. The Action to Control Cardiovascular Risk in Diabetes Study Group. Effects of intensive glucose lowering in type 2 diabetes. N Engl J Med. 2008;358:2545-2559.</w:t>
      </w:r>
    </w:p>
    <w:p>
      <w:pPr>
        <w:spacing w:after="40"/>
      </w:pPr>
      <w:r>
        <w:rPr>
          <w:rFonts w:ascii="Times New Roman" w:hAnsi="Times New Roman"/>
          <w:i w:val="0"/>
        </w:rPr>
        <w:t>19. The ADVANCE Collaborative Group. Intensive blood glucose control and vascular outcomes in patients with type 2 diabetes. N Engl J Med. 2008;358:2560-2572.</w:t>
      </w:r>
    </w:p>
    <w:p>
      <w:pPr>
        <w:spacing w:after="40"/>
      </w:pPr>
      <w:r>
        <w:rPr>
          <w:rFonts w:ascii="Times New Roman" w:hAnsi="Times New Roman"/>
          <w:i w:val="0"/>
        </w:rPr>
        <w:t>20. Duckworth W, Abraira C, Moritz T, et al. Glucose control and vascular complications in veterans with type 2 diabetes. N Engl J Med. 2009;360:129-139.</w:t>
      </w:r>
    </w:p>
    <w:p>
      <w:pPr>
        <w:spacing w:after="40"/>
      </w:pPr>
      <w:r>
        <w:rPr>
          <w:rFonts w:ascii="Times New Roman" w:hAnsi="Times New Roman"/>
          <w:i w:val="0"/>
        </w:rPr>
        <w:t>21. International Stroke Trial Collaborative Group. The International Stroke Trial (IST). Lancet. 1997;349:1569-1581.</w:t>
      </w:r>
    </w:p>
    <w:p>
      <w:pPr>
        <w:spacing w:after="40"/>
      </w:pPr>
      <w:r>
        <w:rPr>
          <w:rFonts w:ascii="Times New Roman" w:hAnsi="Times New Roman"/>
          <w:i w:val="0"/>
        </w:rPr>
        <w:t>22. Sandercock PAG, Niewada M, Czlonkowska A. The International Stroke Trial database. Trials. 2011;12:101.</w:t>
      </w:r>
    </w:p>
    <w:p>
      <w:pPr>
        <w:spacing w:after="40"/>
      </w:pPr>
      <w:r>
        <w:rPr>
          <w:rFonts w:ascii="Times New Roman" w:hAnsi="Times New Roman"/>
          <w:i w:val="0"/>
        </w:rPr>
        <w:t>23. Schild AHE, Voracek M. Less is less: a systematic review of graph use in meta-analyses. Res Synth Methods. 2013;4:209-219.</w:t>
      </w:r>
    </w:p>
    <w:p>
      <w:pPr>
        <w:spacing w:after="40"/>
      </w:pPr>
      <w:r>
        <w:rPr>
          <w:rFonts w:ascii="Times New Roman" w:hAnsi="Times New Roman"/>
          <w:i w:val="0"/>
        </w:rPr>
        <w:t>24. Thompson SG, Higgins JPT. How should meta-regression analyses be undertaken and interpreted? Stat Med. 2002;21:1559-1573.</w:t>
      </w:r>
    </w:p>
    <w:p>
      <w:pPr>
        <w:spacing w:after="40"/>
      </w:pPr>
      <w:r>
        <w:rPr>
          <w:rFonts w:ascii="Times New Roman" w:hAnsi="Times New Roman"/>
          <w:i w:val="0"/>
        </w:rPr>
        <w:t>25. Sterne JAC, Sutton AJ, Ioannidis JPA, et al. Recommendations for examining and interpreting funnel plot asymmetry. BMJ. 2011;343:d4002.</w:t>
      </w:r>
    </w:p>
    <w:p>
      <w:r>
        <w:br w:type="page"/>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r>
        <w:br w:type="page"/>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r>
        <w:br w:type="page"/>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r>
        <w:br w:type="page"/>
      </w:r>
    </w:p>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br w:type="page"/>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br w:type="page"/>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r>
        <w:br w:type="page"/>
      </w:r>
    </w:p>
    <w:p>
      <w:pPr>
        <w:spacing w:before="240"/>
      </w:pPr>
      <w:r>
        <w:rPr>
          <w:rFonts w:ascii="Times New Roman" w:hAnsi="Times New Roman"/>
          <w:b/>
          <w:sz w:val="20"/>
        </w:rPr>
        <w:t>Supplementary Table S1.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br w:type="page"/>
      </w:r>
    </w:p>
    <w:p>
      <w:pPr>
        <w:spacing w:before="240"/>
      </w:pPr>
      <w:r>
        <w:rPr>
          <w:rFonts w:ascii="Times New Roman" w:hAnsi="Times New Roman"/>
          <w:b/>
          <w:sz w:val="20"/>
        </w:rPr>
        <w:t>Table 7.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