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LINKO (Latent Information Normalization for Key Outcomes): A Framework for Evaluating the Validity of Meta-Analytic Pooling Across Heterogeneous RCT Data Structures</w:t>
      </w:r>
    </w:p>
    <w:p>
      <w:r>
        <w:rPr>
          <w:rFonts w:ascii="Times New Roman" w:hAnsi="Times New Roman"/>
          <w:i w:val="0"/>
        </w:rPr>
        <w:t>Short title: LINKO</w:t>
      </w:r>
    </w:p>
    <w:p>
      <w:r>
        <w:rPr>
          <w:rFonts w:ascii="Times New Roman" w:hAnsi="Times New Roman"/>
          <w:i w:val="0"/>
        </w:rPr>
        <w:t>Author: Tatsuki Onishi</w:t>
      </w:r>
    </w:p>
    <w:p>
      <w:r>
        <w:rPr>
          <w:rFonts w:ascii="Times New Roman" w:hAnsi="Times New Roman"/>
          <w:i w:val="0"/>
        </w:rPr>
        <w:t>Affiliation: Data Science and AI Innovation Research Promotion Center, Shiga University</w:t>
      </w:r>
    </w:p>
    <w:p>
      <w:r>
        <w:rPr>
          <w:rFonts w:ascii="Times New Roman" w:hAnsi="Times New Roman"/>
          <w:i w:val="0"/>
        </w:rPr>
        <w:t>Corresponding author: Tatsuki Onishi, [Address], [Email]</w:t>
      </w:r>
    </w:p>
    <w:p>
      <w:r>
        <w:rPr>
          <w:rFonts w:ascii="Times New Roman" w:hAnsi="Times New Roman"/>
          <w:i w:val="0"/>
        </w:rPr>
        <w:t>Word count of abstract: 243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within the Latent Information Normalization for Key Outcomes (LINKO) framework, whose core descriptor is the Information Contribution Ratio (ICR); we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(DerSimonian and Laird 1986; Higgins et al. 2003, 2023). These quantities describe dispersion of effect estimates; they say nothing about the data structure from which each estimate was extracted.</w:t>
      </w:r>
    </w:p>
    <w:p>
      <w:r>
        <w:rPr>
          <w:rFonts w:ascii="Times New Roman" w:hAnsi="Times New Roman"/>
          <w:i w:val="0"/>
        </w:rPr>
        <w:t>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introduces the Latent Information Normalization for Key Outcomes (LINKO) framework, in which the Information Contribution Ratio (ICR) is the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(Morris et al. 2019).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LINKO as a framework and ICR as its reproducible structural descriptor and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m:oMath>
        <m:r>
          <w:rPr>
            <w:rFonts w:ascii="Cambria Math" w:hAnsi="Cambria Math"/>
            <w:sz w:val="24"/>
            <w:szCs w:val="24"/>
          </w:rPr>
          <m:t xml:space="preserve">ICR</m:t>
        </m:r>
        <m:r>
          <m:rPr>
            <m:sty m:val="p"/>
          </m:rPr>
          <w:rPr>
            <w:rFonts w:ascii="Cambria Math" w:hAnsi="Cambria Math"/>
            <w:sz w:val="24"/>
            <w:szCs w:val="24"/>
          </w:rPr>
          <m:t xml:space="preserve">=</m:t>
        </m:r>
        <m:r>
          <w:rPr>
            <w:rFonts w:ascii="Cambria Math" w:hAnsi="Cambria Math"/>
            <w:sz w:val="24"/>
            <w:szCs w:val="24"/>
          </w:rPr>
          <m:t xml:space="preserve">f</m:t>
        </m:r>
        <m:d>
          <m:dPr>
            <m:begChr m:val="("/>
            <m:endChr m:val=")"/>
          </m:dPr>
          <m:e>
            <m:r>
              <w:rPr>
                <w:rFonts w:ascii="Cambria Math" w:hAnsi="Cambria Math"/>
                <w:sz w:val="24"/>
                <w:szCs w:val="24"/>
              </w:rPr>
              <m:t xml:space="preserve">E</m:t>
            </m:r>
            <m:r>
              <m:rPr>
                <m:sty m:val="p"/>
              </m:rPr>
              <w:rPr>
                <w:rFonts w:ascii="Cambria Math" w:hAnsi="Cambria Math"/>
                <w:sz w:val="24"/>
                <w:szCs w:val="24"/>
              </w:rPr>
              <m:t xml:space="preserve">;</m:t>
            </m:r>
            <m:sSub>
              <m:e>
                <m:r>
                  <w:rPr>
                    <w:rFonts w:ascii="Cambria Math" w:hAnsi="Cambria Math"/>
                    <w:sz w:val="24"/>
                    <w:szCs w:val="24"/>
                  </w:rPr>
                  <m:t xml:space="preserve">X</m:t>
                </m:r>
              </m:e>
              <m:sub>
                <m:r>
                  <w:rPr>
                    <w:rFonts w:ascii="Cambria Math" w:hAnsi="Cambria Math"/>
                    <w:sz w:val="24"/>
                    <w:szCs w:val="24"/>
                  </w:rPr>
                  <m:t xml:space="preserve">1</m:t>
                </m:r>
              </m:sub>
            </m:sSub>
            <m:r>
              <m:rPr>
                <m:sty m:val="p"/>
              </m:rPr>
              <w:rPr>
                <w:rFonts w:ascii="Cambria Math" w:hAnsi="Cambria Math"/>
                <w:sz w:val="24"/>
                <w:szCs w:val="24"/>
              </w:rPr>
              <m:t xml:space="preserve">,</m:t>
            </m:r>
            <m:r>
              <m:rPr>
                <m:sty m:val="p"/>
              </m:rPr>
              <w:rPr>
                <w:rFonts w:ascii="Cambria Math" w:hAnsi="Cambria Math"/>
                <w:sz w:val="24"/>
                <w:szCs w:val="24"/>
              </w:rPr>
              <m:t xml:space="preserve">…</m:t>
            </m:r>
            <m:r>
              <m:rPr>
                <m:sty m:val="p"/>
              </m:rPr>
              <w:rPr>
                <w:rFonts w:ascii="Cambria Math" w:hAnsi="Cambria Math"/>
                <w:sz w:val="24"/>
                <w:szCs w:val="24"/>
              </w:rPr>
              <m:t xml:space="preserve">,</m:t>
            </m:r>
            <m:sSub>
              <m:e>
                <m:r>
                  <w:rPr>
                    <w:rFonts w:ascii="Cambria Math" w:hAnsi="Cambria Math"/>
                    <w:sz w:val="24"/>
                    <w:szCs w:val="24"/>
                  </w:rPr>
                  <m:t xml:space="preserve">X</m:t>
                </m:r>
              </m:e>
              <m:sub>
                <m:r>
                  <w:rPr>
                    <w:rFonts w:ascii="Cambria Math" w:hAnsi="Cambria Math"/>
                    <w:sz w:val="24"/>
                    <w:szCs w:val="24"/>
                  </w:rPr>
                  <m:t xml:space="preserve">D</m:t>
                </m:r>
              </m:sub>
            </m:sSub>
          </m:e>
        </m:d>
      </m:oMath>
      <w:r>
        <w:rPr>
          <w:rFonts w:ascii="Times New Roman" w:hAnsi="Times New Roman"/>
        </w:rPr>
        <w:t>,</w:t>
      </w:r>
    </w:p>
    <w:p>
      <w:r>
        <w:rPr>
          <w:rFonts w:ascii="Times New Roman" w:hAnsi="Times New Roman"/>
          <w:i w:val="0"/>
        </w:rPr>
        <w:t>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(Rubin 2005);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m:oMath>
        <m:sSub>
          <m:e>
            <m:r>
              <w:rPr>
                <w:rFonts w:ascii="Cambria Math" w:hAnsi="Cambria Math"/>
                <w:sz w:val="24"/>
                <w:szCs w:val="24"/>
              </w:rPr>
              <m:t xml:space="preserve">ICR</m:t>
            </m:r>
          </m:e>
          <m:sub>
            <m:r>
              <w:rPr>
                <w:rFonts w:ascii="Cambria Math" w:hAnsi="Cambria Math"/>
                <w:sz w:val="24"/>
                <w:szCs w:val="24"/>
              </w:rPr>
              <m:t xml:space="preserve">std</m:t>
            </m:r>
          </m:sub>
        </m:sSub>
        <m:r>
          <m:rPr>
            <m:sty m:val="p"/>
          </m:rPr>
          <w:rPr>
            <w:rFonts w:ascii="Cambria Math" w:hAnsi="Cambria Math"/>
            <w:sz w:val="24"/>
            <w:szCs w:val="24"/>
          </w:rPr>
          <m:t xml:space="preserve">=</m:t>
        </m:r>
        <m:f>
          <m:num>
            <m:r>
              <w:rPr>
                <w:rFonts w:ascii="Cambria Math" w:hAnsi="Cambria Math"/>
                <w:sz w:val="24"/>
                <w:szCs w:val="24"/>
              </w:rPr>
              <m:t xml:space="preserve">d</m:t>
            </m:r>
          </m:num>
          <m:den>
            <m:r>
              <w:rPr>
                <w:rFonts w:ascii="Cambria Math" w:hAnsi="Cambria Math"/>
                <w:sz w:val="24"/>
                <w:szCs w:val="24"/>
              </w:rPr>
              <m:t xml:space="preserve">D</m:t>
            </m:r>
          </m:den>
        </m:f>
      </m:oMath>
      <w:r>
        <w:rPr>
          <w:rFonts w:ascii="Times New Roman" w:hAnsi="Times New Roman"/>
        </w:rPr>
        <w:t>,</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m:oMath>
        <m:sSub>
          <m:e>
            <m:r>
              <w:rPr>
                <w:rFonts w:ascii="Cambria Math" w:hAnsi="Cambria Math"/>
                <w:sz w:val="24"/>
                <w:szCs w:val="24"/>
              </w:rPr>
              <m:t xml:space="preserve">ICR</m:t>
            </m:r>
          </m:e>
          <m:sub>
            <m:r>
              <w:rPr>
                <w:rFonts w:ascii="Cambria Math" w:hAnsi="Cambria Math"/>
                <w:sz w:val="24"/>
                <w:szCs w:val="24"/>
              </w:rPr>
              <m:t xml:space="preserve">raw</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j</m:t>
                </m:r>
                <m:r>
                  <m:rPr>
                    <m:sty m:val="p"/>
                  </m:rPr>
                  <w:rPr>
                    <w:rFonts w:ascii="Cambria Math" w:hAnsi="Cambria Math"/>
                    <w:sz w:val="24"/>
                    <w:szCs w:val="24"/>
                  </w:rPr>
                  <m:t xml:space="preserve">∈</m:t>
                </m:r>
                <m:r>
                  <w:rPr>
                    <w:rFonts w:ascii="Cambria Math" w:hAnsi="Cambria Math"/>
                    <w:sz w:val="24"/>
                    <w:szCs w:val="24"/>
                  </w:rPr>
                  <m:t xml:space="preserve">E</m:t>
                </m:r>
              </m:sub>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num>
          <m:den>
            <m:nary>
              <m:naryPr>
                <m:chr m:val="∑"/>
              </m:naryPr>
              <m:sub>
                <m:r>
                  <w:rPr>
                    <w:rFonts w:ascii="Cambria Math" w:hAnsi="Cambria Math"/>
                    <w:sz w:val="24"/>
                    <w:szCs w:val="24"/>
                  </w:rPr>
                  <m:t xml:space="preserve">j</m:t>
                </m:r>
                <m:r>
                  <m:rPr>
                    <m:sty m:val="p"/>
                  </m:rPr>
                  <w:rPr>
                    <w:rFonts w:ascii="Cambria Math" w:hAnsi="Cambria Math"/>
                    <w:sz w:val="24"/>
                    <w:szCs w:val="24"/>
                  </w:rPr>
                  <m:t xml:space="preserve">=</m:t>
                </m:r>
                <m:r>
                  <m:rPr>
                    <m:sty m:val="p"/>
                  </m:rPr>
                  <w:rPr>
                    <w:rFonts w:ascii="Cambria Math" w:hAnsi="Cambria Math"/>
                    <w:sz w:val="24"/>
                    <w:szCs w:val="24"/>
                  </w:rPr>
                  <m:t xml:space="preserve">1</m:t>
                </m:r>
              </m:sub>
              <m:sup>
                <m:r>
                  <w:rPr>
                    <w:rFonts w:ascii="Cambria Math" w:hAnsi="Cambria Math"/>
                    <w:sz w:val="24"/>
                    <w:szCs w:val="24"/>
                  </w:rPr>
                  <m:t xml:space="preserve">D</m:t>
                </m:r>
              </m:sup>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den>
        </m:f>
      </m:oMath>
      <w:r>
        <w:rPr>
          <w:rFonts w:ascii="Times New Roman" w:hAnsi="Times New Roman"/>
        </w:rPr>
        <w:t>,</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When IPD are available, principal component analysis (PCA) on the correlation matrix of the standardised variables (Jolliffe and Cadima 2016) gives two further estimators. The loading-based estimator sums the explained-variance ratios of components on which the endpoint has absolute loading at least 0.3:</w:t>
      </w:r>
    </w:p>
    <w:p>
      <w:pPr>
        <w:ind w:left="720"/>
      </w:pPr>
      <m:oMath>
        <m:sSub>
          <m:e>
            <m:r>
              <w:rPr>
                <w:rFonts w:ascii="Cambria Math" w:hAnsi="Cambria Math"/>
                <w:sz w:val="24"/>
                <w:szCs w:val="24"/>
              </w:rPr>
              <m:t xml:space="preserve">ICR</m:t>
            </m:r>
          </m:e>
          <m:sub>
            <m:r>
              <w:rPr>
                <w:rFonts w:ascii="Cambria Math" w:hAnsi="Cambria Math"/>
                <w:sz w:val="24"/>
                <w:szCs w:val="24"/>
              </w:rPr>
              <m:t xml:space="preserve">pca, loading</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k</m:t>
                </m:r>
                <m:r>
                  <m:rPr>
                    <m:sty m:val="p"/>
                  </m:rPr>
                  <w:rPr>
                    <w:rFonts w:ascii="Cambria Math" w:hAnsi="Cambria Math"/>
                    <w:sz w:val="24"/>
                    <w:szCs w:val="24"/>
                  </w:rPr>
                  <m:t xml:space="preserve">∈</m:t>
                </m:r>
                <m:sSub>
                  <m:e>
                    <m:r>
                      <w:rPr>
                        <w:rFonts w:ascii="Cambria Math" w:hAnsi="Cambria Math"/>
                        <w:sz w:val="24"/>
                        <w:szCs w:val="24"/>
                      </w:rPr>
                      <m:t xml:space="preserve">S</m:t>
                    </m:r>
                  </m:e>
                  <m:sub>
                    <m:r>
                      <w:rPr>
                        <w:rFonts w:ascii="Cambria Math" w:hAnsi="Cambria Math"/>
                        <w:sz w:val="24"/>
                        <w:szCs w:val="24"/>
                      </w:rPr>
                      <m:t xml:space="preserve">E</m:t>
                    </m:r>
                  </m:sub>
                </m:sSub>
              </m:sub>
              <m:e>
                <m:sSub>
                  <m:e>
                    <m:r>
                      <w:rPr>
                        <w:rFonts w:ascii="Cambria Math" w:hAnsi="Cambria Math"/>
                        <w:sz w:val="24"/>
                        <w:szCs w:val="24"/>
                      </w:rPr>
                      <m:t xml:space="preserve">λ</m:t>
                    </m:r>
                  </m:e>
                  <m:sub>
                    <m:r>
                      <w:rPr>
                        <w:rFonts w:ascii="Cambria Math" w:hAnsi="Cambria Math"/>
                        <w:sz w:val="24"/>
                        <w:szCs w:val="24"/>
                      </w:rPr>
                      <m:t xml:space="preserve">k</m:t>
                    </m:r>
                  </m:sub>
                </m:sSub>
              </m:e>
            </m:nary>
          </m:num>
          <m:den>
            <m:nary>
              <m:naryPr>
                <m:chr m:val="∑"/>
              </m:naryPr>
              <m:sub>
                <m:r>
                  <w:rPr>
                    <w:rFonts w:ascii="Cambria Math" w:hAnsi="Cambria Math"/>
                    <w:sz w:val="24"/>
                    <w:szCs w:val="24"/>
                  </w:rPr>
                  <m:t xml:space="preserve">k</m:t>
                </m:r>
              </m:sub>
              <m:e>
                <m:sSub>
                  <m:e>
                    <m:r>
                      <w:rPr>
                        <w:rFonts w:ascii="Cambria Math" w:hAnsi="Cambria Math"/>
                        <w:sz w:val="24"/>
                        <w:szCs w:val="24"/>
                      </w:rPr>
                      <m:t xml:space="preserve">λ</m:t>
                    </m:r>
                  </m:e>
                  <m:sub>
                    <m:r>
                      <w:rPr>
                        <w:rFonts w:ascii="Cambria Math" w:hAnsi="Cambria Math"/>
                        <w:sz w:val="24"/>
                        <w:szCs w:val="24"/>
                      </w:rPr>
                      <m:t xml:space="preserve">k</m:t>
                    </m:r>
                  </m:sub>
                </m:sSub>
              </m:e>
            </m:nary>
          </m:den>
        </m:f>
      </m:oMath>
      <w:r>
        <w:rPr>
          <w:rFonts w:ascii="Times New Roman" w:hAnsi="Times New Roman"/>
        </w:rPr>
        <w:t>.</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m:oMath>
        <m:sSub>
          <m:e>
            <m:r>
              <w:rPr>
                <w:rFonts w:ascii="Cambria Math" w:hAnsi="Cambria Math"/>
                <w:sz w:val="24"/>
                <w:szCs w:val="24"/>
              </w:rPr>
              <m:t xml:space="preserve">ICR</m:t>
            </m:r>
          </m:e>
          <m:sub>
            <m:r>
              <w:rPr>
                <w:rFonts w:ascii="Cambria Math" w:hAnsi="Cambria Math"/>
                <w:sz w:val="24"/>
                <w:szCs w:val="24"/>
              </w:rPr>
              <m:t xml:space="preserve">pca, reg</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k</m:t>
                </m:r>
              </m:sub>
              <m:e>
                <m:sSubSup>
                  <m:e>
                    <m:r>
                      <w:rPr>
                        <w:rFonts w:ascii="Cambria Math" w:hAnsi="Cambria Math"/>
                        <w:sz w:val="24"/>
                        <w:szCs w:val="24"/>
                      </w:rPr>
                      <m:t xml:space="preserve">β</m:t>
                    </m:r>
                  </m:e>
                  <m:sub>
                    <m:r>
                      <w:rPr>
                        <w:rFonts w:ascii="Cambria Math" w:hAnsi="Cambria Math"/>
                        <w:sz w:val="24"/>
                        <w:szCs w:val="24"/>
                      </w:rPr>
                      <m:t xml:space="preserve">k</m:t>
                    </m:r>
                  </m:sub>
                  <m:sup>
                    <m:r>
                      <w:rPr>
                        <w:rFonts w:ascii="Cambria Math" w:hAnsi="Cambria Math"/>
                        <w:sz w:val="24"/>
                        <w:szCs w:val="24"/>
                      </w:rPr>
                      <m:t xml:space="preserve">2</m:t>
                    </m:r>
                  </m:sup>
                </m:sSubSup>
                <m:sSub>
                  <m:e>
                    <m:r>
                      <w:rPr>
                        <w:rFonts w:ascii="Cambria Math" w:hAnsi="Cambria Math"/>
                        <w:sz w:val="24"/>
                        <w:szCs w:val="24"/>
                      </w:rPr>
                      <m:t xml:space="preserve">λ</m:t>
                    </m:r>
                  </m:e>
                  <m:sub>
                    <m:r>
                      <w:rPr>
                        <w:rFonts w:ascii="Cambria Math" w:hAnsi="Cambria Math"/>
                        <w:sz w:val="24"/>
                        <w:szCs w:val="24"/>
                      </w:rPr>
                      <m:t xml:space="preserve">k</m:t>
                    </m:r>
                  </m:sub>
                </m:sSub>
              </m:e>
            </m:nary>
          </m:num>
          <m:den>
            <m:d>
              <m:dPr>
                <m:begChr m:val="("/>
                <m:endChr m:val=")"/>
              </m:dPr>
              <m:e>
                <m:nary>
                  <m:naryPr>
                    <m:chr m:val="∑"/>
                  </m:naryPr>
                  <m:sub>
                    <m:r>
                      <w:rPr>
                        <w:rFonts w:ascii="Cambria Math" w:hAnsi="Cambria Math"/>
                        <w:sz w:val="24"/>
                        <w:szCs w:val="24"/>
                      </w:rPr>
                      <m:t xml:space="preserve">k</m:t>
                    </m:r>
                  </m:sub>
                  <m:e>
                    <m:sSub>
                      <m:e>
                        <m:r>
                          <w:rPr>
                            <w:rFonts w:ascii="Cambria Math" w:hAnsi="Cambria Math"/>
                            <w:sz w:val="24"/>
                            <w:szCs w:val="24"/>
                          </w:rPr>
                          <m:t xml:space="preserve">λ</m:t>
                        </m:r>
                      </m:e>
                      <m:sub>
                        <m:r>
                          <w:rPr>
                            <w:rFonts w:ascii="Cambria Math" w:hAnsi="Cambria Math"/>
                            <w:sz w:val="24"/>
                            <w:szCs w:val="24"/>
                          </w:rPr>
                          <m:t xml:space="preserve">k</m:t>
                        </m:r>
                      </m:sub>
                    </m:sSub>
                  </m:e>
                </m:nary>
                <m:r>
                  <m:rPr>
                    <m:sty m:val="p"/>
                  </m:rPr>
                  <w:rPr>
                    <w:rFonts w:ascii="Cambria Math" w:hAnsi="Cambria Math"/>
                    <w:sz w:val="24"/>
                    <w:szCs w:val="24"/>
                  </w:rPr>
                  <m:t xml:space="preserve">+</m:t>
                </m:r>
                <m:r>
                  <m:rPr>
                    <m:sty m:val="p"/>
                  </m:rPr>
                  <w:rPr>
                    <w:rFonts w:ascii="Cambria Math" w:hAnsi="Cambria Math"/>
                    <w:sz w:val="24"/>
                    <w:szCs w:val="24"/>
                  </w:rPr>
                  <m:t xml:space="preserve">Var</m:t>
                </m:r>
                <m:d>
                  <m:dPr>
                    <m:begChr m:val="("/>
                    <m:endChr m:val=")"/>
                  </m:dPr>
                  <m:e>
                    <m:r>
                      <w:rPr>
                        <w:rFonts w:ascii="Cambria Math" w:hAnsi="Cambria Math"/>
                        <w:sz w:val="24"/>
                        <w:szCs w:val="24"/>
                      </w:rPr>
                      <m:t xml:space="preserve">Y</m:t>
                    </m:r>
                  </m:e>
                </m:d>
              </m:e>
            </m:d>
          </m:den>
        </m:f>
      </m:oMath>
      <w:r>
        <w:rPr>
          <w:rFonts w:ascii="Times New Roman" w:hAnsi="Times New Roman"/>
        </w:rPr>
        <w:t>.</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Effect estimates were pooled with random-effects models using three estimators of tau-squared: DerSimonian-Laird (DerSimonian and Laird 1986), restricted maximum likelihood and Paule-Mandel (Paule and Mandel 1982; Veroniki et al. 2016). Confidence intervals were computed both with the Wald approach and with the Hartung-Knapp adjustment (Hartung and Knapp 2001), and 95% prediction intervals were computed where k &gt; 2 (IntHout et al. 2016; Riley et al. 2011).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The simulation follows the ADEMP structure (Morris et al. 2019).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Two collections were assembled from published reports: 5 statin trials (4S Study Group 1994; Downs et al. 1998; LIPID Study Group 1998; Sacks et al. 1996; Shepherd et al. 1995) and 4 intensive glucose-control trials (ACCORD Study Group 2008; ADVANCE Collaborative Group 2008; Duckworth et al. 2009; UKPDS Study Group 1998),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The International Stroke Trial (International Stroke Trial Collaborative Group 1997; Sandercock et al. 2011)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The prism forest plot is a standard forest plot in which marker colour encodes ICR and marker size encodes a second ICR variant when available, with a side panel listing the values. Its purpose is to make structural differences visible next to the effect estimates (Schild and Voracek 2013);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pPr>
        <w:pStyle w:val="Heading1"/>
      </w:pPr>
      <w:r>
        <w:rPr>
          <w:rFonts w:ascii="Times New Roman" w:hAnsi="Times New Roman"/>
        </w:rPr>
        <w:t>4 Discussion</w:t>
      </w:r>
    </w:p>
    <w:p>
      <w:r>
        <w:rPr>
          <w:rFonts w:ascii="Times New Roman" w:hAnsi="Times New Roman"/>
          <w:i w:val="0"/>
        </w:rPr>
        <w:t>We introduced the LINKO framework and defined its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(Thompson and Higgins 2002) and funnel-plot diagnostics (Sterne et al. 2011)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LINKO framework proposes the Information Contribution Ratio as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Statements and Declarations</w:t>
      </w:r>
    </w:p>
    <w:p>
      <w:pPr>
        <w:pStyle w:val="Heading2"/>
      </w:pPr>
      <w:r>
        <w:rPr>
          <w:rFonts w:ascii="Times New Roman" w:hAnsi="Times New Roman"/>
        </w:rPr>
        <w:t>Acknowledgements</w:t>
      </w:r>
    </w:p>
    <w:p>
      <w:r>
        <w:rPr>
          <w:rFonts w:ascii="Times New Roman" w:hAnsi="Times New Roman"/>
          <w:i w:val="0"/>
        </w:rPr>
        <w:t>[To be completed]</w:t>
      </w:r>
    </w:p>
    <w:p>
      <w:pPr>
        <w:pStyle w:val="Heading2"/>
      </w:pPr>
      <w:r>
        <w:rPr>
          <w:rFonts w:ascii="Times New Roman" w:hAnsi="Times New Roman"/>
        </w:rPr>
        <w:t>Competing interests</w:t>
      </w:r>
    </w:p>
    <w:p>
      <w:r>
        <w:rPr>
          <w:rFonts w:ascii="Times New Roman" w:hAnsi="Times New Roman"/>
          <w:i w:val="0"/>
        </w:rPr>
        <w:t>The author declares no competing interests.</w:t>
      </w:r>
    </w:p>
    <w:p>
      <w:pPr>
        <w:pStyle w:val="Heading2"/>
      </w:pPr>
      <w:r>
        <w:rPr>
          <w:rFonts w:ascii="Times New Roman" w:hAnsi="Times New Roman"/>
        </w:rPr>
        <w:t>Funding</w:t>
      </w:r>
    </w:p>
    <w:p>
      <w:r>
        <w:rPr>
          <w:rFonts w:ascii="Times New Roman" w:hAnsi="Times New Roman"/>
          <w:i w:val="0"/>
        </w:rPr>
        <w:t>No funding was received for this study.</w:t>
      </w:r>
    </w:p>
    <w:p>
      <w:pPr>
        <w:pStyle w:val="Heading2"/>
      </w:pPr>
      <w:r>
        <w:rPr>
          <w:rFonts w:ascii="Times New Roman" w:hAnsi="Times New Roman"/>
        </w:rPr>
        <w:t>Data availability</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2"/>
      </w:pPr>
      <w:r>
        <w:rPr>
          <w:rFonts w:ascii="Times New Roman" w:hAnsi="Times New Roman"/>
        </w:rPr>
        <w:t>Ethics approval and consent to participate</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4S Study Group: Randomised trial of cholesterol lowering in 4444 patients with coronary heart disease (4S). Lancet. 344, 1383–1389 (1994).</w:t>
      </w:r>
    </w:p>
    <w:p>
      <w:pPr>
        <w:spacing w:after="40"/>
      </w:pPr>
      <w:r>
        <w:rPr>
          <w:rFonts w:ascii="Times New Roman" w:hAnsi="Times New Roman"/>
          <w:i w:val="0"/>
        </w:rPr>
        <w:t>ACCORD Study Group: Effects of intensive glucose lowering in type 2 diabetes. N Engl J Med. 358, 2545–2559 (2008).</w:t>
      </w:r>
    </w:p>
    <w:p>
      <w:pPr>
        <w:spacing w:after="40"/>
      </w:pPr>
      <w:r>
        <w:rPr>
          <w:rFonts w:ascii="Times New Roman" w:hAnsi="Times New Roman"/>
          <w:i w:val="0"/>
        </w:rPr>
        <w:t>ADVANCE Collaborative Group: Intensive blood glucose control and vascular outcomes in patients with type 2 diabetes. N Engl J Med. 358, 2560–2572 (2008).</w:t>
      </w:r>
    </w:p>
    <w:p>
      <w:pPr>
        <w:spacing w:after="40"/>
      </w:pPr>
      <w:r>
        <w:rPr>
          <w:rFonts w:ascii="Times New Roman" w:hAnsi="Times New Roman"/>
          <w:i w:val="0"/>
        </w:rPr>
        <w:t>DerSimonian, R., Laird, N.: Meta-analysis in clinical trials. Control Clin Trials. 7, 177–188 (1986).</w:t>
      </w:r>
    </w:p>
    <w:p>
      <w:pPr>
        <w:spacing w:after="40"/>
      </w:pPr>
      <w:r>
        <w:rPr>
          <w:rFonts w:ascii="Times New Roman" w:hAnsi="Times New Roman"/>
          <w:i w:val="0"/>
        </w:rPr>
        <w:t>Downs, J. R., Clearfield, M., Weis, S.: Primary prevention of acute coronary events with lovastatin in men and women with average cholesterol levels (AFCAPS/TexCAPS). JAMA. 279, 1615–1622 (1998).</w:t>
      </w:r>
    </w:p>
    <w:p>
      <w:pPr>
        <w:spacing w:after="40"/>
      </w:pPr>
      <w:r>
        <w:rPr>
          <w:rFonts w:ascii="Times New Roman" w:hAnsi="Times New Roman"/>
          <w:i w:val="0"/>
        </w:rPr>
        <w:t>Duckworth, W., Abraira, C., Moritz, T.: Glucose control and vascular complications in veterans with type 2 diabetes. N Engl J Med. 360, 129–139 (2009).</w:t>
      </w:r>
    </w:p>
    <w:p>
      <w:pPr>
        <w:spacing w:after="40"/>
      </w:pPr>
      <w:r>
        <w:rPr>
          <w:rFonts w:ascii="Times New Roman" w:hAnsi="Times New Roman"/>
          <w:i w:val="0"/>
        </w:rPr>
        <w:t>Hartung, J., Knapp, G.: A refined method for the meta-analysis of controlled clinical trials with binary outcome. Stat Med. 20, 3875–3889 (2001).</w:t>
      </w:r>
    </w:p>
    <w:p>
      <w:pPr>
        <w:spacing w:after="40"/>
      </w:pPr>
      <w:r>
        <w:rPr>
          <w:rFonts w:ascii="Times New Roman" w:hAnsi="Times New Roman"/>
          <w:i w:val="0"/>
        </w:rPr>
        <w:t>Higgins, J. P. T., Thompson, S. G., Deeks, J. J., Altman, D. G.: Measuring inconsistency in meta-analyses. BMJ. 327, 557–560 (2003).</w:t>
      </w:r>
    </w:p>
    <w:p>
      <w:pPr>
        <w:spacing w:after="40"/>
      </w:pPr>
      <w:r>
        <w:rPr>
          <w:rFonts w:ascii="Times New Roman" w:hAnsi="Times New Roman"/>
          <w:i w:val="0"/>
        </w:rPr>
        <w:t>Higgins, J. P. T., Thomas, J., Chandler, J.: Cochrane Handbook for Systematic Reviews of Interventions. Version 6.4. Wiley, Chichester (2023).</w:t>
      </w:r>
    </w:p>
    <w:p>
      <w:pPr>
        <w:spacing w:after="40"/>
      </w:pPr>
      <w:r>
        <w:rPr>
          <w:rFonts w:ascii="Times New Roman" w:hAnsi="Times New Roman"/>
          <w:i w:val="0"/>
        </w:rPr>
        <w:t>International Stroke Trial Collaborative Group: The International Stroke Trial (IST). Lancet. 349, 1569–1581 (1997).</w:t>
      </w:r>
    </w:p>
    <w:p>
      <w:pPr>
        <w:spacing w:after="40"/>
      </w:pPr>
      <w:r>
        <w:rPr>
          <w:rFonts w:ascii="Times New Roman" w:hAnsi="Times New Roman"/>
          <w:i w:val="0"/>
        </w:rPr>
        <w:t>IntHout, J., Ioannidis, J. P. A., Rovers, M. M., Goeman, J. J.: Plea for routinely presenting prediction intervals in meta-analysis. BMJ Open. 6, e010247 (2016).</w:t>
      </w:r>
    </w:p>
    <w:p>
      <w:pPr>
        <w:spacing w:after="40"/>
      </w:pPr>
      <w:r>
        <w:rPr>
          <w:rFonts w:ascii="Times New Roman" w:hAnsi="Times New Roman"/>
          <w:i w:val="0"/>
        </w:rPr>
        <w:t>Jolliffe, I. T., Cadima, J.: Principal component analysis: a review and recent developments. Philos Trans R Soc A. 374, 20150202 (2016).</w:t>
      </w:r>
    </w:p>
    <w:p>
      <w:pPr>
        <w:spacing w:after="40"/>
      </w:pPr>
      <w:r>
        <w:rPr>
          <w:rFonts w:ascii="Times New Roman" w:hAnsi="Times New Roman"/>
          <w:i w:val="0"/>
        </w:rPr>
        <w:t>LIPID Study Group: Prevention of cardiovascular events and death with pravastatin in patients with coronary heart disease. N Engl J Med. 339, 1349–1357 (1998).</w:t>
      </w:r>
    </w:p>
    <w:p>
      <w:pPr>
        <w:spacing w:after="40"/>
      </w:pPr>
      <w:r>
        <w:rPr>
          <w:rFonts w:ascii="Times New Roman" w:hAnsi="Times New Roman"/>
          <w:i w:val="0"/>
        </w:rPr>
        <w:t>Morris, T. P., White, I. R., Crowther, M. J.: Using simulation studies to evaluate statistical methods. Stat Med. 38, 2074–2102 (2019).</w:t>
      </w:r>
    </w:p>
    <w:p>
      <w:pPr>
        <w:spacing w:after="40"/>
      </w:pPr>
      <w:r>
        <w:rPr>
          <w:rFonts w:ascii="Times New Roman" w:hAnsi="Times New Roman"/>
          <w:i w:val="0"/>
        </w:rPr>
        <w:t>Paule, R. C., Mandel, J.: Consensus values and weighting factors. J Res Natl Bur Stand. 87, 377–385 (1982).</w:t>
      </w:r>
    </w:p>
    <w:p>
      <w:pPr>
        <w:spacing w:after="40"/>
      </w:pPr>
      <w:r>
        <w:rPr>
          <w:rFonts w:ascii="Times New Roman" w:hAnsi="Times New Roman"/>
          <w:i w:val="0"/>
        </w:rPr>
        <w:t>Riley, R. D., Higgins, J. P. T., Deeks, J. J.: Interpretation of random effects meta-analyses. BMJ. 342, d549 (2011).</w:t>
      </w:r>
    </w:p>
    <w:p>
      <w:pPr>
        <w:spacing w:after="40"/>
      </w:pPr>
      <w:r>
        <w:rPr>
          <w:rFonts w:ascii="Times New Roman" w:hAnsi="Times New Roman"/>
          <w:i w:val="0"/>
        </w:rPr>
        <w:t>Rubin, D. B.: Causal inference using potential outcomes. J Am Stat Assoc. 100, 322–331 (2005).</w:t>
      </w:r>
    </w:p>
    <w:p>
      <w:pPr>
        <w:spacing w:after="40"/>
      </w:pPr>
      <w:r>
        <w:rPr>
          <w:rFonts w:ascii="Times New Roman" w:hAnsi="Times New Roman"/>
          <w:i w:val="0"/>
        </w:rPr>
        <w:t>Sacks, F. M., Pfeffer, M. A., Moye, L. A.: The effect of pravastatin on coronary events after myocardial infarction in patients with average cholesterol levels. N Engl J Med. 335, 1001–1009 (1996).</w:t>
      </w:r>
    </w:p>
    <w:p>
      <w:pPr>
        <w:spacing w:after="40"/>
      </w:pPr>
      <w:r>
        <w:rPr>
          <w:rFonts w:ascii="Times New Roman" w:hAnsi="Times New Roman"/>
          <w:i w:val="0"/>
        </w:rPr>
        <w:t>Sandercock, P. A. G., Niewada, M., Czlonkowska, A.: The International Stroke Trial database. Trials. 12, 101 (2011).</w:t>
      </w:r>
    </w:p>
    <w:p>
      <w:pPr>
        <w:spacing w:after="40"/>
      </w:pPr>
      <w:r>
        <w:rPr>
          <w:rFonts w:ascii="Times New Roman" w:hAnsi="Times New Roman"/>
          <w:i w:val="0"/>
        </w:rPr>
        <w:t>Schild, A. H. E., Voracek, M.: Less is less: a systematic review of graph use in meta-analyses. Res Synth Methods. 4, 209–219 (2013).</w:t>
      </w:r>
    </w:p>
    <w:p>
      <w:pPr>
        <w:spacing w:after="40"/>
      </w:pPr>
      <w:r>
        <w:rPr>
          <w:rFonts w:ascii="Times New Roman" w:hAnsi="Times New Roman"/>
          <w:i w:val="0"/>
        </w:rPr>
        <w:t>Shepherd, J., Cobbe, S. M., Ford, I.: Prevention of coronary heart disease with pravastatin in men with hypercholesterolemia. N Engl J Med. 333, 1301–1307 (1995).</w:t>
      </w:r>
    </w:p>
    <w:p>
      <w:pPr>
        <w:spacing w:after="40"/>
      </w:pPr>
      <w:r>
        <w:rPr>
          <w:rFonts w:ascii="Times New Roman" w:hAnsi="Times New Roman"/>
          <w:i w:val="0"/>
        </w:rPr>
        <w:t>Sterne, J. A. C., Sutton, A. J., Ioannidis, J. P. A.: Recommendations for examining and interpreting funnel plot asymmetry. BMJ. 343, d4002 (2011).</w:t>
      </w:r>
    </w:p>
    <w:p>
      <w:pPr>
        <w:spacing w:after="40"/>
      </w:pPr>
      <w:r>
        <w:rPr>
          <w:rFonts w:ascii="Times New Roman" w:hAnsi="Times New Roman"/>
          <w:i w:val="0"/>
        </w:rPr>
        <w:t>Thompson, S. G., Higgins, J. P. T.: How should meta-regression analyses be undertaken and interpreted? Stat Med. 21, 1559–1573 (2002).</w:t>
      </w:r>
    </w:p>
    <w:p>
      <w:pPr>
        <w:spacing w:after="40"/>
      </w:pPr>
      <w:r>
        <w:rPr>
          <w:rFonts w:ascii="Times New Roman" w:hAnsi="Times New Roman"/>
          <w:i w:val="0"/>
        </w:rPr>
        <w:t>UKPDS Study Group: Intensive blood-glucose control with sulphonylureas or insulin compared with conventional treatment (UKPDS 33). Lancet. 352, 837–853 (1998).</w:t>
      </w:r>
    </w:p>
    <w:p>
      <w:pPr>
        <w:spacing w:after="40"/>
      </w:pPr>
      <w:r>
        <w:rPr>
          <w:rFonts w:ascii="Times New Roman" w:hAnsi="Times New Roman"/>
          <w:i w:val="0"/>
        </w:rPr>
        <w:t>Veroniki, A. A., Jackson, D., Viechtbauer, W.: Methods to estimate the between-study variance and its uncertainty in meta-analysis. Res Synth Methods. 7, 55–79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