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The Editors-in-Chief</w:t>
      </w:r>
    </w:p>
    <w:p>
      <w:r/>
      <w:r>
        <w:rPr>
          <w:i/>
        </w:rPr>
        <w:t>Health Services and Outcomes Research Methodology</w:t>
      </w:r>
      <w:r/>
    </w:p>
    <w:p>
      <w:r>
        <w:t>Dear Editors-in-Chief,</w:t>
      </w:r>
    </w:p>
    <w:p>
      <w:r>
        <w:t xml:space="preserve">We submit our manuscript, "LINKO (Latent Information Normalization for Key Outcomes): A Framework for Evaluating the Validity of Meta-Analytic Pooling Across Heterogeneous RCT Data Structures", for consideration as an original research/methods paper in </w:t>
      </w:r>
      <w:r>
        <w:rPr>
          <w:i/>
        </w:rPr>
        <w:t>Health Services and Outcomes Research Methodology</w:t>
      </w:r>
      <w:r>
        <w:t>.</w:t>
      </w:r>
    </w:p>
    <w:p>
      <w:pPr>
        <w:pStyle w:val="Heading3"/>
      </w:pPr>
      <w:r>
        <w:t>What the paper does</w:t>
      </w:r>
    </w:p>
    <w:p>
      <w:r>
        <w:t>Meta-analysis reduces each trial to one effect estimate for one endpoint, while trials differ substantially in how many variables they measure and in how the endpoint sits within that variable space. We formalise this structural feature within the Latent Information Normalization for Key Outcomes (LINKO) framework, whose core descriptor is the Information Contribution Ratio (ICR), give an explicit estimand, and provide estimators computable from published baseline tables and from individual participant data. We then test, rather than assume, the natural hypothesis that dispersion in ICR is associated with statistical heterogeneity.</w:t>
      </w:r>
    </w:p>
    <w:p>
      <w:pPr>
        <w:pStyle w:val="Heading3"/>
      </w:pPr>
      <w:r>
        <w:t>Why we think it suits the journal</w:t>
      </w:r>
    </w:p>
    <w:p>
      <w:r>
        <w:t>The contribution is methodological and directly relevant to health services and outcomes research: meta-analyses of randomised trials are widely used to inform health policy and clinical practice, yet they routinely pool heterogeneous randomised controlled trials without a reproducible way to describe the structural differences in their data. The paper is largely negative, which we believe is of value to the meta-analysis and evidence-synthesis literature. In a simulation study reported according to the ADEMP structure and with Monte Carlo standard errors throughout, the heterogeneous-ICR scenario did not show higher I-squared than the uniform-ICR scenario (difference -0.41 percentage points, 95% Monte Carlo confidence interval [-1.91, 1.10]), and a negative control in which ICR varied with no structural mechanism produced comparable heterogeneity (mean I-squared 11.0%). A redundancy analysis shows that the dimension-counting estimator changes to 0.50 times its value when near-duplicate covariates are added, while an eigenvalue-based effective-dimension version is essentially unchanged (ratio 1.01).</w:t>
      </w:r>
    </w:p>
    <w:p>
      <w:r>
        <w:t>We therefore present LINKO as a framework, with ICR as a reproducible structural descriptor and reporting adjunct rather than as a diagnostic for whether pooling is appropriate, and we state the limits of the measure explicitly. An exploratory analysis of 8 country groups of the International Stroke Trial (open individual participant data) shows the principal-component estimators are computable and vary meaningfully; the regression-based estimator was associated with 14-day mortality (P = 0.003). Because those groups are recruitment strata of one trial and not independent studies, we report this as hypothesis-generating only.</w:t>
      </w:r>
    </w:p>
    <w:p>
      <w:pPr>
        <w:pStyle w:val="Heading3"/>
      </w:pPr>
      <w:r>
        <w:t>Reproducibility</w:t>
      </w:r>
    </w:p>
    <w:p>
      <w:r>
        <w:t>Every number, table and figure in the manuscript is regenerated by a single command from public inputs: the International Stroke Trial data are downloaded by a script from the University of Edinburgh DataShare repository, and the published trial inputs are stored as comma-separated files with per-study citations. The manuscript is built by reading the generated result files, so no value is transcribed by hand; an audit script in the repository verifies this before each build. The analysis reported here was produced with Python 3.10.12, NumPy 2.2.6 and pandas 2.3.3 at commit 5ac2c549.</w:t>
      </w:r>
    </w:p>
    <w:p>
      <w:pPr>
        <w:pStyle w:val="Heading3"/>
      </w:pPr>
      <w:r>
        <w:t>Declarations</w:t>
      </w:r>
    </w:p>
    <w:p>
      <w:r>
        <w:t>The manuscript is original, has not been published elsewhere and is not under consideration by another journal. The author declares no competing interests. No funding was received for this study. No ethical approval was required: the analyses use publicly available de-identified data and simulated data. The abstract is within the 250-word limit, references follow the journal's author-year style, tables are embedded in the manuscript, and figures are embedded in the manuscript and also supplied as separate high-resolution files.</w:t>
      </w:r>
    </w:p>
    <w:p>
      <w:r>
        <w:t>Thank you for considering our submission.</w:t>
      </w:r>
    </w:p>
    <w:p>
      <w:r>
        <w:t>Yours sincerely,</w:t>
      </w:r>
    </w:p>
    <w:p>
      <w:r>
        <w:t>Tatsuki Onishi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