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LINKO (Latent Information Normalization for Key Outcomes): A Framework for Evaluating the Validity of Meta-Analytic Pooling Across Heterogeneous RCT Data Structures</w:t>
      </w:r>
    </w:p>
    <w:p>
      <w:r>
        <w:rPr>
          <w:rFonts w:ascii="Times New Roman" w:hAnsi="Times New Roman"/>
          <w:i w:val="0"/>
        </w:rPr>
        <w:t>Short title: LINKO</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243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within the Latent Information Normalization for Key Outcomes (LINKO) framework, whose core descriptor is the Information Contribution Ratio (ICR); we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introduces the Latent Information Normalization for Key Outcomes (LINKO) framework, in which the Information Contribution Ratio (ICR) is the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LINKO as a framework and ICR as its reproducible structural descriptor and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Supplementary Figure S1.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4.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Supplementary Figure S2. Leave-one-out recomputation of the association between each PCA-based ICR estimator and 14-day mortality across the eight country groups.</w:t>
      </w:r>
    </w:p>
    <w:p>
      <w:r>
        <w:rPr>
          <w:rFonts w:ascii="Times New Roman" w:hAnsi="Times New Roman"/>
          <w:i w:val="0"/>
        </w:rPr>
        <w:t>Figure 5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5.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introduced the LINKO framework and defined its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LINKO framework proposes the Information Contribution Ratio as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5ac2c549a1ba).</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