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val="0"/>
          <w:i w:val="0"/>
          <w:sz w:val="24"/>
        </w:rPr>
      </w:r>
    </w:p>
    <w:p>
      <w:pPr>
        <w:jc w:val="center"/>
      </w:pPr>
      <w:r>
        <w:rPr>
          <w:rFonts w:ascii="Times New Roman" w:hAnsi="Times New Roman"/>
          <w:b/>
          <w:sz w:val="32"/>
        </w:rPr>
        <w:t>LINKO (Latent Information Normalization for Key Outcomes):</w:t>
        <w:br/>
        <w:t>A Framework for Evaluating the Validity of</w:t>
        <w:br/>
        <w:t>Meta-Analytic Pooling Across Heterogeneous RCT Data Structures</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spacing w:line="480" w:lineRule="auto"/>
        <w:jc w:val="center"/>
      </w:pPr>
      <w:r>
        <w:rPr>
          <w:rFonts w:ascii="Times New Roman" w:hAnsi="Times New Roman"/>
          <w:b w:val="0"/>
          <w:i w:val="0"/>
          <w:sz w:val="24"/>
        </w:rPr>
        <w:t>Tatsuki Onishi</w:t>
      </w:r>
    </w:p>
    <w:p>
      <w:pPr>
        <w:spacing w:line="480" w:lineRule="auto"/>
        <w:jc w:val="center"/>
      </w:pPr>
      <w:r>
        <w:rPr>
          <w:rFonts w:ascii="Times New Roman" w:hAnsi="Times New Roman"/>
          <w:b w:val="0"/>
          <w:i w:val="0"/>
          <w:sz w:val="24"/>
        </w:rPr>
        <w:t>[Affiliations]</w:t>
      </w:r>
    </w:p>
    <w:p>
      <w:pPr>
        <w:spacing w:line="480" w:lineRule="auto"/>
      </w:pPr>
      <w:r>
        <w:rPr>
          <w:rFonts w:ascii="Times New Roman" w:hAnsi="Times New Roman"/>
          <w:b w:val="0"/>
          <w:i w:val="0"/>
          <w:sz w:val="24"/>
        </w:rPr>
      </w:r>
    </w:p>
    <w:p>
      <w:pPr>
        <w:spacing w:line="480" w:lineRule="auto"/>
        <w:jc w:val="center"/>
      </w:pPr>
      <w:r>
        <w:rPr>
          <w:rFonts w:ascii="Times New Roman" w:hAnsi="Times New Roman"/>
          <w:b w:val="0"/>
          <w:i w:val="0"/>
          <w:sz w:val="24"/>
        </w:rPr>
        <w:t>Corresponding author: Tatsuki Onishi, [Email]</w:t>
      </w:r>
    </w:p>
    <w:p>
      <w:r>
        <w:br w:type="page"/>
      </w:r>
    </w:p>
    <w:p>
      <w:pPr>
        <w:pStyle w:val="Heading1"/>
      </w:pPr>
      <w:r>
        <w:rPr>
          <w:rFonts w:ascii="Times New Roman" w:hAnsi="Times New Roman"/>
          <w:color w:val="000000"/>
        </w:rPr>
        <w:t>Abstract</w:t>
      </w:r>
    </w:p>
    <w:p>
      <w:pPr>
        <w:spacing w:line="480" w:lineRule="auto"/>
      </w:pPr>
      <w:r>
        <w:rPr>
          <w:rFonts w:ascii="Times New Roman" w:hAnsi="Times New Roman"/>
          <w:b/>
          <w:sz w:val="24"/>
        </w:rPr>
        <w:t xml:space="preserve">Background: </w:t>
      </w:r>
      <w:r>
        <w:rPr>
          <w:rFonts w:ascii="Times New Roman" w:hAnsi="Times New Roman"/>
          <w:sz w:val="24"/>
        </w:rPr>
        <w:t>Meta-analysis pools effect sizes from multiple RCTs, but each RCT collects different numbers of variables, meaning the endpoint may represent vastly different proportions of the total information space. This structural heterogeneity is not captured by I-squared or tau-squared. We introduce the LINKO (Latent Information Normalization for Key Outcomes) framework, proposing the Information Contribution Ratio (ICR) as a diagnostic measure for assessing whether endpoint variables carry equivalent informational weight across studies in a meta-analysis.</w:t>
      </w:r>
    </w:p>
    <w:p>
      <w:pPr>
        <w:spacing w:line="480" w:lineRule="auto"/>
      </w:pPr>
      <w:r>
        <w:rPr>
          <w:rFonts w:ascii="Times New Roman" w:hAnsi="Times New Roman"/>
          <w:b/>
          <w:sz w:val="24"/>
        </w:rPr>
        <w:t xml:space="preserve">Methods: </w:t>
      </w:r>
      <w:r>
        <w:rPr>
          <w:rFonts w:ascii="Times New Roman" w:hAnsi="Times New Roman"/>
          <w:sz w:val="24"/>
        </w:rPr>
        <w:t>We define ICR as the proportion of a study's total data information attributable to its endpoint. Two approaches are developed: (1) a variance-based approach (ICR_std = d/D) computable from published Table 1 statistics, and (2) a PCA-based approach (ICR_pca) using individual patient data. We introduce the Prism Forest Plot encoding ICR as color and size dimensions. Validation includes Monte Carlo simulation (ADEMP framework), two real-world domains, PCA validation using the IST dataset (19,435 patients, 8 country sub-studies), and leave-one-out sensitivity analysis.</w:t>
      </w:r>
    </w:p>
    <w:p>
      <w:pPr>
        <w:spacing w:line="480" w:lineRule="auto"/>
      </w:pPr>
      <w:r>
        <w:rPr>
          <w:rFonts w:ascii="Times New Roman" w:hAnsi="Times New Roman"/>
          <w:b/>
          <w:sz w:val="24"/>
        </w:rPr>
        <w:t xml:space="preserve">Results: </w:t>
      </w:r>
      <w:r>
        <w:rPr>
          <w:rFonts w:ascii="Times New Roman" w:hAnsi="Times New Roman"/>
          <w:sz w:val="24"/>
        </w:rPr>
        <w:t>In simulation, heterogeneous ICR yielded higher I-squared (11.7% vs 11.0%). In real-world data, statin therapy (low ICRD = 0.009) showed I-squared = 0.0%, while glucose control (ICRD = 0.048) showed I-squared = 17.0%. PCA-based ICR varied 4-fold across IST sub-studies (CV = 0.36); regression-based ICR_pca correlated with 14-day mortality (r = 0.90, p = 0.003), robust in leave-one-out analysis (r = 0.84-0.95, all p &lt; 0.02).</w:t>
      </w:r>
    </w:p>
    <w:p>
      <w:pPr>
        <w:spacing w:line="480" w:lineRule="auto"/>
      </w:pPr>
      <w:r>
        <w:rPr>
          <w:rFonts w:ascii="Times New Roman" w:hAnsi="Times New Roman"/>
          <w:b/>
          <w:sz w:val="24"/>
        </w:rPr>
        <w:t xml:space="preserve">Conclusions: </w:t>
      </w:r>
      <w:r>
        <w:rPr>
          <w:rFonts w:ascii="Times New Roman" w:hAnsi="Times New Roman"/>
          <w:sz w:val="24"/>
        </w:rPr>
        <w:t>LINKO provides a computable diagnostic for assessing structural comparability in meta-analysis. We recommend reporting ICR discrepancy alongside I-squared and tau-squared.</w:t>
      </w:r>
    </w:p>
    <w:p>
      <w:pPr>
        <w:spacing w:line="480" w:lineRule="auto"/>
      </w:pPr>
      <w:r>
        <w:rPr>
          <w:rFonts w:ascii="Times New Roman" w:hAnsi="Times New Roman"/>
          <w:b/>
          <w:sz w:val="24"/>
        </w:rPr>
        <w:t xml:space="preserve">Keywords: </w:t>
      </w:r>
      <w:r>
        <w:rPr>
          <w:rFonts w:ascii="Times New Roman" w:hAnsi="Times New Roman"/>
          <w:sz w:val="24"/>
        </w:rPr>
        <w:t>meta-analysis, heterogeneity, information contribution ratio, evidence synthesis, principal component analysis, individual patient data, forest plot</w:t>
      </w:r>
    </w:p>
    <w:p>
      <w:r>
        <w:br w:type="page"/>
      </w:r>
    </w:p>
    <w:p>
      <w:pPr>
        <w:pStyle w:val="Heading1"/>
      </w:pPr>
      <w:r>
        <w:rPr>
          <w:rFonts w:ascii="Times New Roman" w:hAnsi="Times New Roman"/>
          <w:color w:val="000000"/>
        </w:rPr>
        <w:t>Background</w:t>
      </w:r>
    </w:p>
    <w:p>
      <w:pPr>
        <w:spacing w:line="480" w:lineRule="auto"/>
      </w:pPr>
      <w:r>
        <w:rPr>
          <w:rFonts w:ascii="Times New Roman" w:hAnsi="Times New Roman"/>
          <w:b w:val="0"/>
          <w:i w:val="0"/>
          <w:sz w:val="24"/>
        </w:rPr>
        <w:t>Randomized controlled trials (RCTs) are the gold standard for evaluating treatment efficacy. Each RCT collects comprehensive patient-level data: demographic variables, baseline laboratory values, comorbidities, concomitant medications, and multiple outcome measures. A typical RCT may record 10-100+ variables per participant. Yet when these studies are synthesized through meta-analysis, the pooling is performed on a single endpoint (or a small number of endpoints), reducing each study's rich dataset to a single effect size estimate.</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This raises a fundamental question: does the endpoint carry the same informational weight in every study? If Study A measures 10 variables and the endpoint is one of them (representing 10% of the data dimensionality), while Study B measures 50 variables with the same endpoint (representing 2% of the data dimensionality), are these effect sizes truly comparable for pooling?</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Standard meta-analysis assesses between-study heterogeneity using Cochran's Q statistic and the I-squared index [1]. These measures quantify the proportion of variability in effect estimates that is due to true differences rather than sampling error. However, they do not account for differences in the informational context from which the endpoint was drawn. Sources of heterogeneity are typically attributed to clinical diversity (different populations, interventions, comparators), methodological diversity (study design, risk of bias), and statistical heterogeneity (unexplained variation). We propose that structural diversity -- differences in the data dimensionality and the endpoint's role within each study's data space -- represents an additional, previously unrecognized source of heterogeneity.</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We introduce the LINKO (Latent Information Normalization for Key Outcomes) framework, centered on the Information Contribution Ratio (ICR) as a measure of how much of a study's total information is captured by its endpoint variables. We develop two complementary approaches: (1) a variance-based approach (ICR_v) computable from published Table 1 summary statistics, making retrospective analysis feasible for any published RCT; and (2) a PCA-based approach (ICR_pca) that captures the full covariance structure when individual patient data (IPD) are available. We also introduce the Prism Forest Plot, a novel visualization that extends the standard forest plot by encoding ICR information through color and size dimensions.</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We hypothesize that when studies contributing to a meta-analysis have similar ICR values (low ICR Discrepancy, ICRD), the meta-analysis will exhibit lower heterogeneity. Conversely, when ICR varies substantially across studies (high ICRD), heterogeneity may increase because the endpoint captures different fractions of the total treatment effect in different studies.</w:t>
      </w:r>
    </w:p>
    <w:p>
      <w:r>
        <w:br w:type="page"/>
      </w:r>
    </w:p>
    <w:p>
      <w:pPr>
        <w:pStyle w:val="Heading1"/>
      </w:pPr>
      <w:r>
        <w:rPr>
          <w:rFonts w:ascii="Times New Roman" w:hAnsi="Times New Roman"/>
          <w:color w:val="000000"/>
        </w:rPr>
        <w:t>Methods</w:t>
      </w:r>
    </w:p>
    <w:p>
      <w:pPr>
        <w:pStyle w:val="Heading2"/>
      </w:pPr>
      <w:r>
        <w:rPr>
          <w:rFonts w:ascii="Times New Roman" w:hAnsi="Times New Roman"/>
          <w:color w:val="000000"/>
        </w:rPr>
        <w:t>Mathematical framework</w:t>
      </w:r>
    </w:p>
    <w:p>
      <w:pPr>
        <w:pStyle w:val="Heading3"/>
      </w:pPr>
      <w:r>
        <w:rPr>
          <w:rFonts w:ascii="Times New Roman" w:hAnsi="Times New Roman"/>
          <w:color w:val="000000"/>
        </w:rPr>
        <w:t>Variance-based ICR (Approach 1: ICR_v)</w:t>
      </w:r>
    </w:p>
    <w:p>
      <w:pPr>
        <w:spacing w:line="480" w:lineRule="auto"/>
      </w:pPr>
      <w:r>
        <w:rPr>
          <w:rFonts w:ascii="Times New Roman" w:hAnsi="Times New Roman"/>
          <w:b w:val="0"/>
          <w:i w:val="0"/>
          <w:sz w:val="24"/>
        </w:rPr>
        <w:t>For a study with D measured variables, the standardized ICR is defined as:</w:t>
      </w:r>
    </w:p>
    <w:p>
      <w:pPr>
        <w:spacing w:line="480" w:lineRule="auto"/>
      </w:pPr>
      <w:r>
        <w:rPr>
          <w:rFonts w:ascii="Times New Roman" w:hAnsi="Times New Roman"/>
          <w:b w:val="0"/>
          <w:i/>
          <w:sz w:val="24"/>
        </w:rPr>
        <w:t xml:space="preserve">    ICR_std = d / D</w:t>
      </w:r>
    </w:p>
    <w:p>
      <w:pPr>
        <w:spacing w:line="480" w:lineRule="auto"/>
      </w:pPr>
      <w:r>
        <w:rPr>
          <w:rFonts w:ascii="Times New Roman" w:hAnsi="Times New Roman"/>
          <w:b w:val="0"/>
          <w:i w:val="0"/>
          <w:sz w:val="24"/>
        </w:rPr>
        <w:t>where d is the number of endpoint variables and D is the total number of variables. Under standardization (each variable scaled to unit variance), this represents the fraction of the data space occupied by the endpoint.</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The raw variance-based ICR captures scale-dependent information:</w:t>
      </w:r>
    </w:p>
    <w:p>
      <w:pPr>
        <w:spacing w:line="480" w:lineRule="auto"/>
      </w:pPr>
      <w:r>
        <w:rPr>
          <w:rFonts w:ascii="Times New Roman" w:hAnsi="Times New Roman"/>
          <w:b w:val="0"/>
          <w:i/>
          <w:sz w:val="24"/>
        </w:rPr>
        <w:t xml:space="preserve">    ICR_raw = SUM(Var(X_j) for j in E) / SUM(Var(X_j) for j=1..D)</w:t>
      </w:r>
    </w:p>
    <w:p>
      <w:pPr>
        <w:spacing w:line="480" w:lineRule="auto"/>
      </w:pPr>
      <w:r>
        <w:rPr>
          <w:rFonts w:ascii="Times New Roman" w:hAnsi="Times New Roman"/>
          <w:b w:val="0"/>
          <w:i w:val="0"/>
          <w:sz w:val="24"/>
        </w:rPr>
        <w:t>where E is the set of endpoint variables. For continuous variables, the pooled variance is reconstructed from group means, standard deviations, and sample sizes reported in Table 1. For binary variables, the variance is p(1-p). This allows retrospective ICR computation for any published RCT without requiring individual patient data.</w:t>
      </w:r>
    </w:p>
    <w:p>
      <w:pPr>
        <w:pStyle w:val="Heading3"/>
      </w:pPr>
      <w:r>
        <w:rPr>
          <w:rFonts w:ascii="Times New Roman" w:hAnsi="Times New Roman"/>
          <w:color w:val="000000"/>
        </w:rPr>
        <w:t>PCA-based ICR (Approach 2: ICR_pca)</w:t>
      </w:r>
    </w:p>
    <w:p>
      <w:pPr>
        <w:spacing w:line="480" w:lineRule="auto"/>
      </w:pPr>
      <w:r>
        <w:rPr>
          <w:rFonts w:ascii="Times New Roman" w:hAnsi="Times New Roman"/>
          <w:b w:val="0"/>
          <w:i w:val="0"/>
          <w:sz w:val="24"/>
        </w:rPr>
        <w:t>When individual patient data (IPD) are available, a more refined measure uses principal component analysis to capture the full covariance structure. We implement two PCA-based methods:</w:t>
      </w:r>
    </w:p>
    <w:p>
      <w:pPr>
        <w:spacing w:line="480" w:lineRule="auto"/>
      </w:pPr>
      <w:r>
        <w:rPr>
          <w:rFonts w:ascii="Times New Roman" w:hAnsi="Times New Roman"/>
          <w:b w:val="0"/>
          <w:i w:val="0"/>
          <w:sz w:val="24"/>
        </w:rPr>
      </w:r>
    </w:p>
    <w:p>
      <w:pPr>
        <w:spacing w:line="480" w:lineRule="auto"/>
      </w:pPr>
      <w:r>
        <w:rPr>
          <w:rFonts w:ascii="Times New Roman" w:hAnsi="Times New Roman"/>
          <w:b/>
          <w:sz w:val="24"/>
        </w:rPr>
        <w:t xml:space="preserve">Loading-based method: </w:t>
      </w:r>
      <w:r>
        <w:rPr>
          <w:rFonts w:ascii="Times New Roman" w:hAnsi="Times New Roman"/>
          <w:sz w:val="24"/>
        </w:rPr>
        <w:t>Identifies principal components (PCs) where the endpoint variable has an absolute loading exceeding a threshold (|a_jk| &gt;= 0.3), then sums their explained variance ratios:</w:t>
      </w:r>
    </w:p>
    <w:p>
      <w:pPr>
        <w:spacing w:line="480" w:lineRule="auto"/>
      </w:pPr>
      <w:r>
        <w:rPr>
          <w:rFonts w:ascii="Times New Roman" w:hAnsi="Times New Roman"/>
          <w:b w:val="0"/>
          <w:i/>
          <w:sz w:val="24"/>
        </w:rPr>
        <w:t xml:space="preserve">    ICR_pca_loading = SUM(lambda_k / SUM(lambda) for k in S_E)</w:t>
      </w:r>
    </w:p>
    <w:p>
      <w:pPr>
        <w:spacing w:line="480" w:lineRule="auto"/>
      </w:pPr>
      <w:r>
        <w:rPr>
          <w:rFonts w:ascii="Times New Roman" w:hAnsi="Times New Roman"/>
          <w:b w:val="0"/>
          <w:i w:val="0"/>
          <w:sz w:val="24"/>
        </w:rPr>
        <w:t>where S_E is the set of endpoint-dominant principal components.</w:t>
      </w:r>
    </w:p>
    <w:p>
      <w:pPr>
        <w:spacing w:line="480" w:lineRule="auto"/>
      </w:pPr>
      <w:r>
        <w:rPr>
          <w:rFonts w:ascii="Times New Roman" w:hAnsi="Times New Roman"/>
          <w:b w:val="0"/>
          <w:i w:val="0"/>
          <w:sz w:val="24"/>
        </w:rPr>
      </w:r>
    </w:p>
    <w:p>
      <w:pPr>
        <w:spacing w:line="480" w:lineRule="auto"/>
      </w:pPr>
      <w:r>
        <w:rPr>
          <w:rFonts w:ascii="Times New Roman" w:hAnsi="Times New Roman"/>
          <w:b/>
          <w:sz w:val="24"/>
        </w:rPr>
        <w:t xml:space="preserve">Regression-based method: </w:t>
      </w:r>
      <w:r>
        <w:rPr>
          <w:rFonts w:ascii="Times New Roman" w:hAnsi="Times New Roman"/>
          <w:sz w:val="24"/>
        </w:rPr>
        <w:t>Performs PCA on predictor variables only (excluding the endpoint), then regresses the endpoint on all PC scores. Since PCs are orthogonal, the regression coefficient for each PC is beta_k = Cov(Y, PC_k) / Var(PC_k). The ICR is computed as:</w:t>
      </w:r>
    </w:p>
    <w:p>
      <w:pPr>
        <w:spacing w:line="480" w:lineRule="auto"/>
      </w:pPr>
      <w:r>
        <w:rPr>
          <w:rFonts w:ascii="Times New Roman" w:hAnsi="Times New Roman"/>
          <w:b w:val="0"/>
          <w:i/>
          <w:sz w:val="24"/>
        </w:rPr>
        <w:t xml:space="preserve">    ICR_pca_reg = SUM(beta_k^2 * lambda_k) / (SUM(lambda_k) + Var(Y))</w:t>
      </w:r>
    </w:p>
    <w:p>
      <w:pPr>
        <w:spacing w:line="480" w:lineRule="auto"/>
      </w:pPr>
      <w:r>
        <w:rPr>
          <w:rFonts w:ascii="Times New Roman" w:hAnsi="Times New Roman"/>
          <w:b w:val="0"/>
          <w:i w:val="0"/>
          <w:sz w:val="24"/>
        </w:rPr>
        <w:t>This measures the proportion of total data information (predictor eigenvalues plus endpoint variance) that "flows to" the endpoint through the principal component structure.</w:t>
      </w:r>
    </w:p>
    <w:p>
      <w:pPr>
        <w:pStyle w:val="Heading3"/>
      </w:pPr>
      <w:r>
        <w:rPr>
          <w:rFonts w:ascii="Times New Roman" w:hAnsi="Times New Roman"/>
          <w:color w:val="000000"/>
        </w:rPr>
        <w:t>ICR Discrepancy (ICRD)</w:t>
      </w:r>
    </w:p>
    <w:p>
      <w:pPr>
        <w:spacing w:line="480" w:lineRule="auto"/>
      </w:pPr>
      <w:r>
        <w:rPr>
          <w:rFonts w:ascii="Times New Roman" w:hAnsi="Times New Roman"/>
          <w:b w:val="0"/>
          <w:i w:val="0"/>
          <w:sz w:val="24"/>
        </w:rPr>
        <w:t>For a set of K studies in a meta-analysis, the ICR Discrepancy is:</w:t>
      </w:r>
    </w:p>
    <w:p>
      <w:pPr>
        <w:spacing w:line="480" w:lineRule="auto"/>
      </w:pPr>
      <w:r>
        <w:rPr>
          <w:rFonts w:ascii="Times New Roman" w:hAnsi="Times New Roman"/>
          <w:b w:val="0"/>
          <w:i/>
          <w:sz w:val="24"/>
        </w:rPr>
        <w:t xml:space="preserve">    ICRD = max(ICR_i) - min(ICR_i),  i = 1, ..., K</w:t>
      </w:r>
    </w:p>
    <w:p>
      <w:pPr>
        <w:spacing w:line="480" w:lineRule="auto"/>
      </w:pPr>
      <w:r>
        <w:rPr>
          <w:rFonts w:ascii="Times New Roman" w:hAnsi="Times New Roman"/>
          <w:b w:val="0"/>
          <w:i w:val="0"/>
          <w:sz w:val="24"/>
        </w:rPr>
        <w:t>We also compute the coefficient of variation of ICR (ICR_CV) as a complementary measure.</w:t>
      </w:r>
    </w:p>
    <w:p>
      <w:pPr>
        <w:pStyle w:val="Heading2"/>
      </w:pPr>
      <w:r>
        <w:rPr>
          <w:rFonts w:ascii="Times New Roman" w:hAnsi="Times New Roman"/>
          <w:color w:val="000000"/>
        </w:rPr>
        <w:t>Simulation study design (ADEMP framework)</w:t>
      </w:r>
    </w:p>
    <w:p>
      <w:pPr>
        <w:spacing w:line="480" w:lineRule="auto"/>
      </w:pPr>
      <w:r>
        <w:rPr>
          <w:rFonts w:ascii="Times New Roman" w:hAnsi="Times New Roman"/>
          <w:b w:val="0"/>
          <w:i w:val="0"/>
          <w:sz w:val="24"/>
        </w:rPr>
        <w:t>We report the simulation study following the ADEMP framework [3,4] for transparent reporting of simulation studies evaluating statistical methods.</w:t>
      </w:r>
    </w:p>
    <w:p>
      <w:pPr>
        <w:spacing w:line="480" w:lineRule="auto"/>
      </w:pPr>
      <w:r>
        <w:rPr>
          <w:rFonts w:ascii="Times New Roman" w:hAnsi="Times New Roman"/>
          <w:b w:val="0"/>
          <w:i w:val="0"/>
          <w:sz w:val="24"/>
        </w:rPr>
      </w:r>
    </w:p>
    <w:p>
      <w:pPr>
        <w:spacing w:line="480" w:lineRule="auto"/>
      </w:pPr>
      <w:r>
        <w:rPr>
          <w:rFonts w:ascii="Times New Roman" w:hAnsi="Times New Roman"/>
          <w:b/>
          <w:sz w:val="24"/>
        </w:rPr>
        <w:t xml:space="preserve">Aims: </w:t>
      </w:r>
      <w:r>
        <w:rPr>
          <w:rFonts w:ascii="Times New Roman" w:hAnsi="Times New Roman"/>
          <w:sz w:val="24"/>
        </w:rPr>
        <w:t>To evaluate whether heterogeneity in ICR across studies affects the statistical heterogeneity (I-squared) of meta-analytic pooling, and whether adding studies with divergent ICR to an initially homogeneous set of studies increases I-squared.</w:t>
      </w:r>
    </w:p>
    <w:p>
      <w:pPr>
        <w:spacing w:line="480" w:lineRule="auto"/>
      </w:pPr>
      <w:r>
        <w:rPr>
          <w:rFonts w:ascii="Times New Roman" w:hAnsi="Times New Roman"/>
          <w:b w:val="0"/>
          <w:i w:val="0"/>
          <w:sz w:val="24"/>
        </w:rPr>
      </w:r>
    </w:p>
    <w:p>
      <w:pPr>
        <w:spacing w:line="480" w:lineRule="auto"/>
      </w:pPr>
      <w:r>
        <w:rPr>
          <w:rFonts w:ascii="Times New Roman" w:hAnsi="Times New Roman"/>
          <w:b/>
          <w:sz w:val="24"/>
        </w:rPr>
        <w:t xml:space="preserve">Data-generating mechanisms: </w:t>
      </w:r>
      <w:r>
        <w:rPr>
          <w:rFonts w:ascii="Times New Roman" w:hAnsi="Times New Roman"/>
          <w:sz w:val="24"/>
        </w:rPr>
        <w:t>Each simulated RCT generates multivariate normal data with D dimensions, where the treatment has a direct effect (delta = 0.5, standardized) on the endpoint (dimension 0) and spillover effects on other dimensions proportional to their correlation with the endpoint. The spillover fraction was set to 0.3. The correlation matrix uses an exponential decay structure: rho_ij = 0.5^|i-j|. Each study has n = 200 subjects per arm.</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Three scenarios were simulated:</w:t>
      </w:r>
    </w:p>
    <w:p>
      <w:pPr>
        <w:spacing w:line="480" w:lineRule="auto"/>
      </w:pPr>
      <w:r>
        <w:rPr>
          <w:rFonts w:ascii="Times New Roman" w:hAnsi="Times New Roman"/>
          <w:b w:val="0"/>
          <w:i w:val="0"/>
          <w:sz w:val="24"/>
        </w:rPr>
        <w:t>Scenario A (Uniform ICR): 10 studies, each with D = 20. ICR_std = 1/20 = 0.05.</w:t>
      </w:r>
    </w:p>
    <w:p>
      <w:pPr>
        <w:spacing w:line="480" w:lineRule="auto"/>
      </w:pPr>
      <w:r>
        <w:rPr>
          <w:rFonts w:ascii="Times New Roman" w:hAnsi="Times New Roman"/>
          <w:b w:val="0"/>
          <w:i w:val="0"/>
          <w:sz w:val="24"/>
        </w:rPr>
        <w:t>Scenario B (Heterogeneous ICR): 10 studies with D from {5, 10, 20, 40, 80}. ICR_std varies 0.0125-0.20.</w:t>
      </w:r>
    </w:p>
    <w:p>
      <w:pPr>
        <w:spacing w:line="480" w:lineRule="auto"/>
      </w:pPr>
      <w:r>
        <w:rPr>
          <w:rFonts w:ascii="Times New Roman" w:hAnsi="Times New Roman"/>
          <w:b w:val="0"/>
          <w:i w:val="0"/>
          <w:sz w:val="24"/>
        </w:rPr>
        <w:t>Scenario C (Sequential with ICR Shift): 15 studies. First 5 with D = 20, then 10 with D from {5, 10, 40, 60, 80}.</w:t>
      </w:r>
    </w:p>
    <w:p>
      <w:pPr>
        <w:spacing w:line="480" w:lineRule="auto"/>
      </w:pPr>
      <w:r>
        <w:rPr>
          <w:rFonts w:ascii="Times New Roman" w:hAnsi="Times New Roman"/>
          <w:b w:val="0"/>
          <w:i w:val="0"/>
          <w:sz w:val="24"/>
        </w:rPr>
      </w:r>
    </w:p>
    <w:p>
      <w:pPr>
        <w:spacing w:line="480" w:lineRule="auto"/>
      </w:pPr>
      <w:r>
        <w:rPr>
          <w:rFonts w:ascii="Times New Roman" w:hAnsi="Times New Roman"/>
          <w:b/>
          <w:sz w:val="24"/>
        </w:rPr>
        <w:t xml:space="preserve">Estimands: </w:t>
      </w:r>
      <w:r>
        <w:rPr>
          <w:rFonts w:ascii="Times New Roman" w:hAnsi="Times New Roman"/>
          <w:sz w:val="24"/>
        </w:rPr>
        <w:t>The primary estimand is the I-squared heterogeneity statistic from DerSimonian-Laird random-effects meta-analysis. Secondary: pooled effect, tau-squared, correlation between ICRD and I-squared.</w:t>
      </w:r>
    </w:p>
    <w:p>
      <w:pPr>
        <w:spacing w:line="480" w:lineRule="auto"/>
      </w:pPr>
      <w:r>
        <w:rPr>
          <w:rFonts w:ascii="Times New Roman" w:hAnsi="Times New Roman"/>
          <w:b w:val="0"/>
          <w:i w:val="0"/>
          <w:sz w:val="24"/>
        </w:rPr>
      </w:r>
    </w:p>
    <w:p>
      <w:pPr>
        <w:spacing w:line="480" w:lineRule="auto"/>
      </w:pPr>
      <w:r>
        <w:rPr>
          <w:rFonts w:ascii="Times New Roman" w:hAnsi="Times New Roman"/>
          <w:b/>
          <w:sz w:val="24"/>
        </w:rPr>
        <w:t xml:space="preserve">Methods: </w:t>
      </w:r>
      <w:r>
        <w:rPr>
          <w:rFonts w:ascii="Times New Roman" w:hAnsi="Times New Roman"/>
          <w:sz w:val="24"/>
        </w:rPr>
        <w:t>DerSimonian-Laird random-effects meta-analysis [5]. For Scenario C, sequential (cumulative) meta-analysis.</w:t>
      </w:r>
    </w:p>
    <w:p>
      <w:pPr>
        <w:spacing w:line="480" w:lineRule="auto"/>
      </w:pPr>
      <w:r>
        <w:rPr>
          <w:rFonts w:ascii="Times New Roman" w:hAnsi="Times New Roman"/>
          <w:b w:val="0"/>
          <w:i w:val="0"/>
          <w:sz w:val="24"/>
        </w:rPr>
      </w:r>
    </w:p>
    <w:p>
      <w:pPr>
        <w:spacing w:line="480" w:lineRule="auto"/>
      </w:pPr>
      <w:r>
        <w:rPr>
          <w:rFonts w:ascii="Times New Roman" w:hAnsi="Times New Roman"/>
          <w:b/>
          <w:sz w:val="24"/>
        </w:rPr>
        <w:t xml:space="preserve">Performance measures: </w:t>
      </w:r>
      <w:r>
        <w:rPr>
          <w:rFonts w:ascii="Times New Roman" w:hAnsi="Times New Roman"/>
          <w:sz w:val="24"/>
        </w:rPr>
        <w:t>Mean I-squared (SD) across 100 iterations, mean ICRD, Pearson correlation between ICRD and I-squared, mean pooled effect (bias from true delta = 0.5), proportion of simulations where adding heterogeneous-ICR studies increased I-squared.</w:t>
      </w:r>
    </w:p>
    <w:p>
      <w:pPr>
        <w:pStyle w:val="Heading2"/>
      </w:pPr>
      <w:r>
        <w:rPr>
          <w:rFonts w:ascii="Times New Roman" w:hAnsi="Times New Roman"/>
          <w:color w:val="000000"/>
        </w:rPr>
        <w:t>Real-world data analysis</w:t>
      </w:r>
    </w:p>
    <w:p>
      <w:pPr>
        <w:spacing w:line="480" w:lineRule="auto"/>
      </w:pPr>
      <w:r>
        <w:rPr>
          <w:rFonts w:ascii="Times New Roman" w:hAnsi="Times New Roman"/>
          <w:b w:val="0"/>
          <w:i w:val="0"/>
          <w:sz w:val="24"/>
        </w:rPr>
        <w:t>We selected two well-known meta-analysis domains:</w:t>
      </w:r>
    </w:p>
    <w:p>
      <w:pPr>
        <w:spacing w:line="480" w:lineRule="auto"/>
      </w:pPr>
      <w:r>
        <w:rPr>
          <w:rFonts w:ascii="Times New Roman" w:hAnsi="Times New Roman"/>
          <w:b w:val="0"/>
          <w:i w:val="0"/>
          <w:sz w:val="24"/>
        </w:rPr>
      </w:r>
    </w:p>
    <w:p>
      <w:pPr>
        <w:spacing w:line="480" w:lineRule="auto"/>
      </w:pPr>
      <w:r>
        <w:rPr>
          <w:rFonts w:ascii="Times New Roman" w:hAnsi="Times New Roman"/>
          <w:b/>
          <w:sz w:val="24"/>
        </w:rPr>
        <w:t xml:space="preserve">Statin therapy for cardiovascular prevention: </w:t>
      </w:r>
      <w:r>
        <w:rPr>
          <w:rFonts w:ascii="Times New Roman" w:hAnsi="Times New Roman"/>
          <w:sz w:val="24"/>
        </w:rPr>
        <w:t>Five landmark RCTs (4S, WOSCOPS, CARE, LIPID, AFCAPS/TexCAPS) [6-10] with consistent mortality benefit. Similar variable sets (D = 10-11).</w:t>
      </w:r>
    </w:p>
    <w:p>
      <w:pPr>
        <w:spacing w:line="480" w:lineRule="auto"/>
      </w:pPr>
      <w:r>
        <w:rPr>
          <w:rFonts w:ascii="Times New Roman" w:hAnsi="Times New Roman"/>
          <w:b w:val="0"/>
          <w:i w:val="0"/>
          <w:sz w:val="24"/>
        </w:rPr>
      </w:r>
    </w:p>
    <w:p>
      <w:pPr>
        <w:spacing w:line="480" w:lineRule="auto"/>
      </w:pPr>
      <w:r>
        <w:rPr>
          <w:rFonts w:ascii="Times New Roman" w:hAnsi="Times New Roman"/>
          <w:b/>
          <w:sz w:val="24"/>
        </w:rPr>
        <w:t xml:space="preserve">Intensive glucose control in type 2 diabetes: </w:t>
      </w:r>
      <w:r>
        <w:rPr>
          <w:rFonts w:ascii="Times New Roman" w:hAnsi="Times New Roman"/>
          <w:sz w:val="24"/>
        </w:rPr>
        <w:t>Four major RCTs (UKPDS 33, ACCORD, ADVANCE, VADT) [11-14] where heterogeneity emerged. Different variable counts (D = 8-13).</w:t>
      </w:r>
    </w:p>
    <w:p>
      <w:pPr>
        <w:pStyle w:val="Heading2"/>
      </w:pPr>
      <w:r>
        <w:rPr>
          <w:rFonts w:ascii="Times New Roman" w:hAnsi="Times New Roman"/>
          <w:color w:val="000000"/>
        </w:rPr>
        <w:t>PCA-based ICR validation (individual patient data)</w:t>
      </w:r>
    </w:p>
    <w:p>
      <w:pPr>
        <w:spacing w:line="480" w:lineRule="auto"/>
      </w:pPr>
      <w:r>
        <w:rPr>
          <w:rFonts w:ascii="Times New Roman" w:hAnsi="Times New Roman"/>
          <w:b w:val="0"/>
          <w:i w:val="0"/>
          <w:sz w:val="24"/>
        </w:rPr>
        <w:t>We used the International Stroke Trial (IST) dataset [15,16], comprising 19,435 patients across 36 countries. We encoded 25 analysis variables and treated the 8 largest country cohorts (UK, Italy, Switzerland, Poland, Netherlands, Sweden, Australia, Argentina; n = 545-5,787) as independent "sub-studies." Leave-one-out sensitivity analysis assessed robustness by iteratively excluding each country.</w:t>
      </w:r>
    </w:p>
    <w:p>
      <w:pPr>
        <w:pStyle w:val="Heading2"/>
      </w:pPr>
      <w:r>
        <w:rPr>
          <w:rFonts w:ascii="Times New Roman" w:hAnsi="Times New Roman"/>
          <w:color w:val="000000"/>
        </w:rPr>
        <w:t>LINKO Prism Forest Plot</w:t>
      </w:r>
    </w:p>
    <w:p>
      <w:pPr>
        <w:spacing w:line="480" w:lineRule="auto"/>
      </w:pPr>
      <w:r>
        <w:rPr>
          <w:rFonts w:ascii="Times New Roman" w:hAnsi="Times New Roman"/>
          <w:b w:val="0"/>
          <w:i w:val="0"/>
          <w:sz w:val="24"/>
        </w:rPr>
        <w:t>We developed the Prism Forest Plot as a novel visualization extending the standard forest plot. Just as a prism decomposes white light into its constituent spectrum, the Prism Forest Plot decomposes the standard forest plot to reveal the hidden ICR dimension:</w:t>
      </w:r>
    </w:p>
    <w:p>
      <w:pPr>
        <w:spacing w:line="480" w:lineRule="auto"/>
      </w:pPr>
      <w:r>
        <w:rPr>
          <w:rFonts w:ascii="Times New Roman" w:hAnsi="Times New Roman"/>
          <w:b w:val="0"/>
          <w:i w:val="0"/>
          <w:sz w:val="24"/>
        </w:rPr>
        <w:t>- Color of each CI bar encodes ICR value (warm red = high ICR, cool blue = low ICR)</w:t>
      </w:r>
    </w:p>
    <w:p>
      <w:pPr>
        <w:spacing w:line="480" w:lineRule="auto"/>
      </w:pPr>
      <w:r>
        <w:rPr>
          <w:rFonts w:ascii="Times New Roman" w:hAnsi="Times New Roman"/>
          <w:b w:val="0"/>
          <w:i w:val="0"/>
          <w:sz w:val="24"/>
        </w:rPr>
        <w:t>- Point size encodes a secondary ICR measure (e.g., ICR_pca_reg) when available</w:t>
      </w:r>
    </w:p>
    <w:p>
      <w:pPr>
        <w:spacing w:line="480" w:lineRule="auto"/>
      </w:pPr>
      <w:r>
        <w:rPr>
          <w:rFonts w:ascii="Times New Roman" w:hAnsi="Times New Roman"/>
          <w:b w:val="0"/>
          <w:i w:val="0"/>
          <w:sz w:val="24"/>
        </w:rPr>
        <w:t>- A side panel displays ICR bar charts aligned with each study row</w:t>
      </w:r>
    </w:p>
    <w:p>
      <w:pPr>
        <w:pStyle w:val="Heading2"/>
      </w:pPr>
      <w:r>
        <w:rPr>
          <w:rFonts w:ascii="Times New Roman" w:hAnsi="Times New Roman"/>
          <w:color w:val="000000"/>
        </w:rPr>
        <w:t>Early convergence analysis</w:t>
      </w:r>
    </w:p>
    <w:p>
      <w:pPr>
        <w:spacing w:line="480" w:lineRule="auto"/>
      </w:pPr>
      <w:r>
        <w:rPr>
          <w:rFonts w:ascii="Times New Roman" w:hAnsi="Times New Roman"/>
          <w:b w:val="0"/>
          <w:i w:val="0"/>
          <w:sz w:val="24"/>
        </w:rPr>
        <w:t>To investigate whether ICR-guided study selection could achieve conclusive results faster, we performed Monte Carlo simulation (500 iterations, 15 studies, true delta = 0.2, n = 80 per arm) comparing three strategies: Random order, ICR-matched first (D closest to 20), and LINKO optimized (ICR closest to median). We tracked studies needed for 95% CI excluding zero and I-squared &lt; 25%.</w:t>
      </w:r>
    </w:p>
    <w:p>
      <w:pPr>
        <w:pStyle w:val="Heading2"/>
      </w:pPr>
      <w:r>
        <w:rPr>
          <w:rFonts w:ascii="Times New Roman" w:hAnsi="Times New Roman"/>
          <w:color w:val="000000"/>
        </w:rPr>
        <w:t>Software</w:t>
      </w:r>
    </w:p>
    <w:p>
      <w:pPr>
        <w:spacing w:line="480" w:lineRule="auto"/>
      </w:pPr>
      <w:r>
        <w:rPr>
          <w:rFonts w:ascii="Times New Roman" w:hAnsi="Times New Roman"/>
          <w:b w:val="0"/>
          <w:i w:val="0"/>
          <w:sz w:val="24"/>
        </w:rPr>
        <w:t>All analyses were implemented in Python 3.x using NumPy/SciPy, pandas, scikit-learn, and matplotlib. Source code: https://github.com/bougtoir/wip/tree/devin/1774353301-icr-paper/icr_paper</w:t>
      </w:r>
    </w:p>
    <w:p>
      <w:r>
        <w:br w:type="page"/>
      </w:r>
    </w:p>
    <w:p>
      <w:pPr>
        <w:pStyle w:val="Heading1"/>
      </w:pPr>
      <w:r>
        <w:rPr>
          <w:rFonts w:ascii="Times New Roman" w:hAnsi="Times New Roman"/>
          <w:color w:val="000000"/>
        </w:rPr>
        <w:t>Results</w:t>
      </w:r>
    </w:p>
    <w:p>
      <w:pPr>
        <w:pStyle w:val="Heading2"/>
      </w:pPr>
      <w:r>
        <w:rPr>
          <w:rFonts w:ascii="Times New Roman" w:hAnsi="Times New Roman"/>
          <w:color w:val="000000"/>
        </w:rPr>
        <w:t>Simulation results</w:t>
      </w:r>
    </w:p>
    <w:p>
      <w:pPr>
        <w:spacing w:line="480" w:lineRule="auto"/>
      </w:pPr>
      <w:r>
        <w:rPr>
          <w:rFonts w:ascii="Times New Roman" w:hAnsi="Times New Roman"/>
          <w:b/>
          <w:i w:val="0"/>
          <w:sz w:val="24"/>
        </w:rPr>
        <w:t>Scenario A vs B: Effect of ICR heterogeneity</w:t>
      </w:r>
    </w:p>
    <w:p>
      <w:pPr>
        <w:spacing w:line="480" w:lineRule="auto"/>
      </w:pPr>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0"/>
              </w:rPr>
              <w:t>Metric</w:t>
            </w:r>
          </w:p>
        </w:tc>
        <w:tc>
          <w:tcPr>
            <w:tcW w:type="dxa" w:w="3135"/>
          </w:tcPr>
          <w:p>
            <w:r>
              <w:rPr>
                <w:rFonts w:ascii="Times New Roman" w:hAnsi="Times New Roman"/>
                <w:b/>
                <w:sz w:val="20"/>
              </w:rPr>
              <w:t>Scenario A (Uniform ICR)</w:t>
            </w:r>
          </w:p>
        </w:tc>
        <w:tc>
          <w:tcPr>
            <w:tcW w:type="dxa" w:w="3135"/>
          </w:tcPr>
          <w:p>
            <w:r>
              <w:rPr>
                <w:rFonts w:ascii="Times New Roman" w:hAnsi="Times New Roman"/>
                <w:b/>
                <w:sz w:val="20"/>
              </w:rPr>
              <w:t>Scenario B (Heterogeneous ICR)</w:t>
            </w:r>
          </w:p>
        </w:tc>
      </w:tr>
      <w:tr>
        <w:tc>
          <w:tcPr>
            <w:tcW w:type="dxa" w:w="3135"/>
          </w:tcPr>
          <w:p>
            <w:r>
              <w:rPr>
                <w:rFonts w:ascii="Times New Roman" w:hAnsi="Times New Roman"/>
                <w:sz w:val="20"/>
              </w:rPr>
              <w:t>Mean I-squared (SD)</w:t>
            </w:r>
          </w:p>
        </w:tc>
        <w:tc>
          <w:tcPr>
            <w:tcW w:type="dxa" w:w="3135"/>
          </w:tcPr>
          <w:p>
            <w:r>
              <w:rPr>
                <w:rFonts w:ascii="Times New Roman" w:hAnsi="Times New Roman"/>
                <w:sz w:val="20"/>
              </w:rPr>
              <w:t>11.0% (17.2)</w:t>
            </w:r>
          </w:p>
        </w:tc>
        <w:tc>
          <w:tcPr>
            <w:tcW w:type="dxa" w:w="3135"/>
          </w:tcPr>
          <w:p>
            <w:r>
              <w:rPr>
                <w:rFonts w:ascii="Times New Roman" w:hAnsi="Times New Roman"/>
                <w:sz w:val="20"/>
              </w:rPr>
              <w:t>11.7% (16.0)</w:t>
            </w:r>
          </w:p>
        </w:tc>
      </w:tr>
      <w:tr>
        <w:tc>
          <w:tcPr>
            <w:tcW w:type="dxa" w:w="3135"/>
          </w:tcPr>
          <w:p>
            <w:r>
              <w:rPr>
                <w:rFonts w:ascii="Times New Roman" w:hAnsi="Times New Roman"/>
                <w:sz w:val="20"/>
              </w:rPr>
              <w:t>Mean ICRD (SD)</w:t>
            </w:r>
          </w:p>
        </w:tc>
        <w:tc>
          <w:tcPr>
            <w:tcW w:type="dxa" w:w="3135"/>
          </w:tcPr>
          <w:p>
            <w:r>
              <w:rPr>
                <w:rFonts w:ascii="Times New Roman" w:hAnsi="Times New Roman"/>
                <w:sz w:val="20"/>
              </w:rPr>
              <w:t>0.0000</w:t>
            </w:r>
          </w:p>
        </w:tc>
        <w:tc>
          <w:tcPr>
            <w:tcW w:type="dxa" w:w="3135"/>
          </w:tcPr>
          <w:p>
            <w:r>
              <w:rPr>
                <w:rFonts w:ascii="Times New Roman" w:hAnsi="Times New Roman"/>
                <w:sz w:val="20"/>
              </w:rPr>
              <w:t>0.1753 (0.031)</w:t>
            </w:r>
          </w:p>
        </w:tc>
      </w:tr>
      <w:tr>
        <w:tc>
          <w:tcPr>
            <w:tcW w:type="dxa" w:w="3135"/>
          </w:tcPr>
          <w:p>
            <w:r>
              <w:rPr>
                <w:rFonts w:ascii="Times New Roman" w:hAnsi="Times New Roman"/>
                <w:sz w:val="20"/>
              </w:rPr>
              <w:t>Mean Pooled Effect</w:t>
            </w:r>
          </w:p>
        </w:tc>
        <w:tc>
          <w:tcPr>
            <w:tcW w:type="dxa" w:w="3135"/>
          </w:tcPr>
          <w:p>
            <w:r>
              <w:rPr>
                <w:rFonts w:ascii="Times New Roman" w:hAnsi="Times New Roman"/>
                <w:sz w:val="20"/>
              </w:rPr>
              <w:t>0.500</w:t>
            </w:r>
          </w:p>
        </w:tc>
        <w:tc>
          <w:tcPr>
            <w:tcW w:type="dxa" w:w="3135"/>
          </w:tcPr>
          <w:p>
            <w:r>
              <w:rPr>
                <w:rFonts w:ascii="Times New Roman" w:hAnsi="Times New Roman"/>
                <w:sz w:val="20"/>
              </w:rPr>
              <w:t>0.496</w:t>
            </w:r>
          </w:p>
        </w:tc>
      </w:tr>
      <w:tr>
        <w:tc>
          <w:tcPr>
            <w:tcW w:type="dxa" w:w="3135"/>
          </w:tcPr>
          <w:p>
            <w:r>
              <w:rPr>
                <w:rFonts w:ascii="Times New Roman" w:hAnsi="Times New Roman"/>
                <w:sz w:val="20"/>
              </w:rPr>
              <w:t>Effect Bias</w:t>
            </w:r>
          </w:p>
        </w:tc>
        <w:tc>
          <w:tcPr>
            <w:tcW w:type="dxa" w:w="3135"/>
          </w:tcPr>
          <w:p>
            <w:r>
              <w:rPr>
                <w:rFonts w:ascii="Times New Roman" w:hAnsi="Times New Roman"/>
                <w:sz w:val="20"/>
              </w:rPr>
              <w:t>+0.0004</w:t>
            </w:r>
          </w:p>
        </w:tc>
        <w:tc>
          <w:tcPr>
            <w:tcW w:type="dxa" w:w="3135"/>
          </w:tcPr>
          <w:p>
            <w:r>
              <w:rPr>
                <w:rFonts w:ascii="Times New Roman" w:hAnsi="Times New Roman"/>
                <w:sz w:val="20"/>
              </w:rPr>
              <w:t>-0.0042</w:t>
            </w:r>
          </w:p>
        </w:tc>
      </w:tr>
    </w:tbl>
    <w:p>
      <w:pPr>
        <w:spacing w:line="480" w:lineRule="auto"/>
      </w:pPr>
      <w:r>
        <w:rPr>
          <w:rFonts w:ascii="Times New Roman" w:hAnsi="Times New Roman"/>
          <w:b w:val="0"/>
          <w:i/>
          <w:sz w:val="24"/>
        </w:rPr>
        <w:t>Table 1. Simulation results comparing uniform and heterogeneous ICR scenarios (100 iterations each).</w:t>
      </w:r>
    </w:p>
    <w:p>
      <w:pPr>
        <w:spacing w:line="480" w:lineRule="auto"/>
      </w:pPr>
      <w:r>
        <w:rPr>
          <w:rFonts w:ascii="Times New Roman" w:hAnsi="Times New Roman"/>
          <w:b w:val="0"/>
          <w:i w:val="0"/>
          <w:sz w:val="24"/>
        </w:rPr>
      </w:r>
    </w:p>
    <w:p>
      <w:pPr>
        <w:spacing w:line="480" w:lineRule="auto"/>
      </w:pPr>
      <w:r>
        <w:rPr>
          <w:rFonts w:ascii="Times New Roman" w:hAnsi="Times New Roman"/>
          <w:b/>
          <w:i w:val="0"/>
          <w:sz w:val="24"/>
        </w:rPr>
        <w:t>Scenario C: Sequential meta-analysis</w:t>
      </w:r>
    </w:p>
    <w:p>
      <w:pPr>
        <w:spacing w:line="480" w:lineRule="auto"/>
      </w:pPr>
      <w:r>
        <w:rPr>
          <w:rFonts w:ascii="Times New Roman" w:hAnsi="Times New Roman"/>
          <w:b w:val="0"/>
          <w:i w:val="0"/>
          <w:sz w:val="24"/>
        </w:rPr>
        <w:t>Adding studies with heterogeneous ICR after uniform-ICR studies increased I-squared in 27% of simulations.</w:t>
      </w:r>
    </w:p>
    <w:p>
      <w:pPr>
        <w:spacing w:line="480" w:lineRule="auto"/>
      </w:pPr>
      <w:r>
        <w:rPr>
          <w:rFonts w:ascii="Times New Roman" w:hAnsi="Times New Roman"/>
          <w:b w:val="0"/>
          <w:i w:val="0"/>
          <w:sz w:val="24"/>
        </w:rPr>
      </w:r>
    </w:p>
    <w:p>
      <w:r>
        <w:drawing>
          <wp:inline xmlns:a="http://schemas.openxmlformats.org/drawingml/2006/main" xmlns:pic="http://schemas.openxmlformats.org/drawingml/2006/picture">
            <wp:extent cx="5029200" cy="3343934"/>
            <wp:docPr id="1" name="Picture 1"/>
            <wp:cNvGraphicFramePr>
              <a:graphicFrameLocks noChangeAspect="1"/>
            </wp:cNvGraphicFramePr>
            <a:graphic>
              <a:graphicData uri="http://schemas.openxmlformats.org/drawingml/2006/picture">
                <pic:pic>
                  <pic:nvPicPr>
                    <pic:cNvPr id="0" name="fig1_scenario_comparison.png"/>
                    <pic:cNvPicPr/>
                  </pic:nvPicPr>
                  <pic:blipFill>
                    <a:blip r:embed="rId9"/>
                    <a:stretch>
                      <a:fillRect/>
                    </a:stretch>
                  </pic:blipFill>
                  <pic:spPr>
                    <a:xfrm>
                      <a:off x="0" y="0"/>
                      <a:ext cx="5029200" cy="3343934"/>
                    </a:xfrm>
                    <a:prstGeom prst="rect"/>
                  </pic:spPr>
                </pic:pic>
              </a:graphicData>
            </a:graphic>
          </wp:inline>
        </w:drawing>
      </w:r>
    </w:p>
    <w:p>
      <w:pPr>
        <w:spacing w:line="480" w:lineRule="auto"/>
      </w:pPr>
      <w:r>
        <w:rPr>
          <w:rFonts w:ascii="Times New Roman" w:hAnsi="Times New Roman"/>
          <w:b w:val="0"/>
          <w:i/>
          <w:sz w:val="24"/>
        </w:rPr>
        <w:t>Figure 1. Comparison of Scenario A and B simulation results.</w:t>
      </w:r>
    </w:p>
    <w:p>
      <w:r>
        <w:drawing>
          <wp:inline xmlns:a="http://schemas.openxmlformats.org/drawingml/2006/main" xmlns:pic="http://schemas.openxmlformats.org/drawingml/2006/picture">
            <wp:extent cx="5029200" cy="1739185"/>
            <wp:docPr id="2" name="Picture 2"/>
            <wp:cNvGraphicFramePr>
              <a:graphicFrameLocks noChangeAspect="1"/>
            </wp:cNvGraphicFramePr>
            <a:graphic>
              <a:graphicData uri="http://schemas.openxmlformats.org/drawingml/2006/picture">
                <pic:pic>
                  <pic:nvPicPr>
                    <pic:cNvPr id="0" name="fig2_sequential_analysis.png"/>
                    <pic:cNvPicPr/>
                  </pic:nvPicPr>
                  <pic:blipFill>
                    <a:blip r:embed="rId10"/>
                    <a:stretch>
                      <a:fillRect/>
                    </a:stretch>
                  </pic:blipFill>
                  <pic:spPr>
                    <a:xfrm>
                      <a:off x="0" y="0"/>
                      <a:ext cx="5029200" cy="1739185"/>
                    </a:xfrm>
                    <a:prstGeom prst="rect"/>
                  </pic:spPr>
                </pic:pic>
              </a:graphicData>
            </a:graphic>
          </wp:inline>
        </w:drawing>
      </w:r>
    </w:p>
    <w:p>
      <w:pPr>
        <w:spacing w:line="480" w:lineRule="auto"/>
      </w:pPr>
      <w:r>
        <w:rPr>
          <w:rFonts w:ascii="Times New Roman" w:hAnsi="Times New Roman"/>
          <w:b w:val="0"/>
          <w:i/>
          <w:sz w:val="24"/>
        </w:rPr>
        <w:t>Figure 2. Sequential meta-analysis (Scenario C).</w:t>
      </w:r>
    </w:p>
    <w:p>
      <w:pPr>
        <w:pStyle w:val="Heading2"/>
      </w:pPr>
      <w:r>
        <w:rPr>
          <w:rFonts w:ascii="Times New Roman" w:hAnsi="Times New Roman"/>
          <w:color w:val="000000"/>
        </w:rPr>
        <w:t>Real-world results (Approach 1: Variance-based ICR)</w:t>
      </w:r>
    </w:p>
    <w:p>
      <w:pPr>
        <w:spacing w:line="480" w:lineRule="auto"/>
      </w:pPr>
      <w:r>
        <w:rPr>
          <w:rFonts w:ascii="Times New Roman" w:hAnsi="Times New Roman"/>
          <w:b/>
          <w:i w:val="0"/>
          <w:sz w:val="24"/>
        </w:rPr>
        <w:t>Statin therapy (stable meta-analysis)</w:t>
      </w:r>
    </w:p>
    <w:p>
      <w:pPr>
        <w:spacing w:line="480" w:lineRule="auto"/>
      </w:pPr>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Study</w:t>
            </w:r>
          </w:p>
        </w:tc>
        <w:tc>
          <w:tcPr>
            <w:tcW w:type="dxa" w:w="1881"/>
          </w:tcPr>
          <w:p>
            <w:r>
              <w:rPr>
                <w:rFonts w:ascii="Times New Roman" w:hAnsi="Times New Roman"/>
                <w:b/>
                <w:sz w:val="20"/>
              </w:rPr>
              <w:t>D</w:t>
            </w:r>
          </w:p>
        </w:tc>
        <w:tc>
          <w:tcPr>
            <w:tcW w:type="dxa" w:w="1881"/>
          </w:tcPr>
          <w:p>
            <w:r>
              <w:rPr>
                <w:rFonts w:ascii="Times New Roman" w:hAnsi="Times New Roman"/>
                <w:b/>
                <w:sz w:val="20"/>
              </w:rPr>
              <w:t>d</w:t>
            </w:r>
          </w:p>
        </w:tc>
        <w:tc>
          <w:tcPr>
            <w:tcW w:type="dxa" w:w="1881"/>
          </w:tcPr>
          <w:p>
            <w:r>
              <w:rPr>
                <w:rFonts w:ascii="Times New Roman" w:hAnsi="Times New Roman"/>
                <w:b/>
                <w:sz w:val="20"/>
              </w:rPr>
              <w:t>ICR_std</w:t>
            </w:r>
          </w:p>
        </w:tc>
        <w:tc>
          <w:tcPr>
            <w:tcW w:type="dxa" w:w="1881"/>
          </w:tcPr>
          <w:p>
            <w:r>
              <w:rPr>
                <w:rFonts w:ascii="Times New Roman" w:hAnsi="Times New Roman"/>
                <w:b/>
                <w:sz w:val="20"/>
              </w:rPr>
              <w:t>Effect Size</w:t>
            </w:r>
          </w:p>
        </w:tc>
      </w:tr>
      <w:tr>
        <w:tc>
          <w:tcPr>
            <w:tcW w:type="dxa" w:w="1881"/>
          </w:tcPr>
          <w:p>
            <w:r>
              <w:rPr>
                <w:rFonts w:ascii="Times New Roman" w:hAnsi="Times New Roman"/>
                <w:sz w:val="20"/>
              </w:rPr>
              <w:t>4S (1994)</w:t>
            </w:r>
          </w:p>
        </w:tc>
        <w:tc>
          <w:tcPr>
            <w:tcW w:type="dxa" w:w="1881"/>
          </w:tcPr>
          <w:p>
            <w:r>
              <w:rPr>
                <w:rFonts w:ascii="Times New Roman" w:hAnsi="Times New Roman"/>
                <w:sz w:val="20"/>
              </w:rPr>
              <w:t>10</w:t>
            </w:r>
          </w:p>
        </w:tc>
        <w:tc>
          <w:tcPr>
            <w:tcW w:type="dxa" w:w="1881"/>
          </w:tcPr>
          <w:p>
            <w:r>
              <w:rPr>
                <w:rFonts w:ascii="Times New Roman" w:hAnsi="Times New Roman"/>
                <w:sz w:val="20"/>
              </w:rPr>
              <w:t>1</w:t>
            </w:r>
          </w:p>
        </w:tc>
        <w:tc>
          <w:tcPr>
            <w:tcW w:type="dxa" w:w="1881"/>
          </w:tcPr>
          <w:p>
            <w:r>
              <w:rPr>
                <w:rFonts w:ascii="Times New Roman" w:hAnsi="Times New Roman"/>
                <w:sz w:val="20"/>
              </w:rPr>
              <w:t>0.100</w:t>
            </w:r>
          </w:p>
        </w:tc>
        <w:tc>
          <w:tcPr>
            <w:tcW w:type="dxa" w:w="1881"/>
          </w:tcPr>
          <w:p>
            <w:r>
              <w:rPr>
                <w:rFonts w:ascii="Times New Roman" w:hAnsi="Times New Roman"/>
                <w:sz w:val="20"/>
              </w:rPr>
              <w:t>-0.370</w:t>
            </w:r>
          </w:p>
        </w:tc>
      </w:tr>
      <w:tr>
        <w:tc>
          <w:tcPr>
            <w:tcW w:type="dxa" w:w="1881"/>
          </w:tcPr>
          <w:p>
            <w:r>
              <w:rPr>
                <w:rFonts w:ascii="Times New Roman" w:hAnsi="Times New Roman"/>
                <w:sz w:val="20"/>
              </w:rPr>
              <w:t>WOSCOPS (1995)</w:t>
            </w:r>
          </w:p>
        </w:tc>
        <w:tc>
          <w:tcPr>
            <w:tcW w:type="dxa" w:w="1881"/>
          </w:tcPr>
          <w:p>
            <w:r>
              <w:rPr>
                <w:rFonts w:ascii="Times New Roman" w:hAnsi="Times New Roman"/>
                <w:sz w:val="20"/>
              </w:rPr>
              <w:t>10</w:t>
            </w:r>
          </w:p>
        </w:tc>
        <w:tc>
          <w:tcPr>
            <w:tcW w:type="dxa" w:w="1881"/>
          </w:tcPr>
          <w:p>
            <w:r>
              <w:rPr>
                <w:rFonts w:ascii="Times New Roman" w:hAnsi="Times New Roman"/>
                <w:sz w:val="20"/>
              </w:rPr>
              <w:t>1</w:t>
            </w:r>
          </w:p>
        </w:tc>
        <w:tc>
          <w:tcPr>
            <w:tcW w:type="dxa" w:w="1881"/>
          </w:tcPr>
          <w:p>
            <w:r>
              <w:rPr>
                <w:rFonts w:ascii="Times New Roman" w:hAnsi="Times New Roman"/>
                <w:sz w:val="20"/>
              </w:rPr>
              <w:t>0.100</w:t>
            </w:r>
          </w:p>
        </w:tc>
        <w:tc>
          <w:tcPr>
            <w:tcW w:type="dxa" w:w="1881"/>
          </w:tcPr>
          <w:p>
            <w:r>
              <w:rPr>
                <w:rFonts w:ascii="Times New Roman" w:hAnsi="Times New Roman"/>
                <w:sz w:val="20"/>
              </w:rPr>
              <w:t>-0.250</w:t>
            </w:r>
          </w:p>
        </w:tc>
      </w:tr>
      <w:tr>
        <w:tc>
          <w:tcPr>
            <w:tcW w:type="dxa" w:w="1881"/>
          </w:tcPr>
          <w:p>
            <w:r>
              <w:rPr>
                <w:rFonts w:ascii="Times New Roman" w:hAnsi="Times New Roman"/>
                <w:sz w:val="20"/>
              </w:rPr>
              <w:t>CARE (1996)</w:t>
            </w:r>
          </w:p>
        </w:tc>
        <w:tc>
          <w:tcPr>
            <w:tcW w:type="dxa" w:w="1881"/>
          </w:tcPr>
          <w:p>
            <w:r>
              <w:rPr>
                <w:rFonts w:ascii="Times New Roman" w:hAnsi="Times New Roman"/>
                <w:sz w:val="20"/>
              </w:rPr>
              <w:t>11</w:t>
            </w:r>
          </w:p>
        </w:tc>
        <w:tc>
          <w:tcPr>
            <w:tcW w:type="dxa" w:w="1881"/>
          </w:tcPr>
          <w:p>
            <w:r>
              <w:rPr>
                <w:rFonts w:ascii="Times New Roman" w:hAnsi="Times New Roman"/>
                <w:sz w:val="20"/>
              </w:rPr>
              <w:t>1</w:t>
            </w:r>
          </w:p>
        </w:tc>
        <w:tc>
          <w:tcPr>
            <w:tcW w:type="dxa" w:w="1881"/>
          </w:tcPr>
          <w:p>
            <w:r>
              <w:rPr>
                <w:rFonts w:ascii="Times New Roman" w:hAnsi="Times New Roman"/>
                <w:sz w:val="20"/>
              </w:rPr>
              <w:t>0.091</w:t>
            </w:r>
          </w:p>
        </w:tc>
        <w:tc>
          <w:tcPr>
            <w:tcW w:type="dxa" w:w="1881"/>
          </w:tcPr>
          <w:p>
            <w:r>
              <w:rPr>
                <w:rFonts w:ascii="Times New Roman" w:hAnsi="Times New Roman"/>
                <w:sz w:val="20"/>
              </w:rPr>
              <w:t>-0.100</w:t>
            </w:r>
          </w:p>
        </w:tc>
      </w:tr>
      <w:tr>
        <w:tc>
          <w:tcPr>
            <w:tcW w:type="dxa" w:w="1881"/>
          </w:tcPr>
          <w:p>
            <w:r>
              <w:rPr>
                <w:rFonts w:ascii="Times New Roman" w:hAnsi="Times New Roman"/>
                <w:sz w:val="20"/>
              </w:rPr>
              <w:t>LIPID (1998)</w:t>
            </w:r>
          </w:p>
        </w:tc>
        <w:tc>
          <w:tcPr>
            <w:tcW w:type="dxa" w:w="1881"/>
          </w:tcPr>
          <w:p>
            <w:r>
              <w:rPr>
                <w:rFonts w:ascii="Times New Roman" w:hAnsi="Times New Roman"/>
                <w:sz w:val="20"/>
              </w:rPr>
              <w:t>10</w:t>
            </w:r>
          </w:p>
        </w:tc>
        <w:tc>
          <w:tcPr>
            <w:tcW w:type="dxa" w:w="1881"/>
          </w:tcPr>
          <w:p>
            <w:r>
              <w:rPr>
                <w:rFonts w:ascii="Times New Roman" w:hAnsi="Times New Roman"/>
                <w:sz w:val="20"/>
              </w:rPr>
              <w:t>1</w:t>
            </w:r>
          </w:p>
        </w:tc>
        <w:tc>
          <w:tcPr>
            <w:tcW w:type="dxa" w:w="1881"/>
          </w:tcPr>
          <w:p>
            <w:r>
              <w:rPr>
                <w:rFonts w:ascii="Times New Roman" w:hAnsi="Times New Roman"/>
                <w:sz w:val="20"/>
              </w:rPr>
              <w:t>0.100</w:t>
            </w:r>
          </w:p>
        </w:tc>
        <w:tc>
          <w:tcPr>
            <w:tcW w:type="dxa" w:w="1881"/>
          </w:tcPr>
          <w:p>
            <w:r>
              <w:rPr>
                <w:rFonts w:ascii="Times New Roman" w:hAnsi="Times New Roman"/>
                <w:sz w:val="20"/>
              </w:rPr>
              <w:t>-0.250</w:t>
            </w:r>
          </w:p>
        </w:tc>
      </w:tr>
      <w:tr>
        <w:tc>
          <w:tcPr>
            <w:tcW w:type="dxa" w:w="1881"/>
          </w:tcPr>
          <w:p>
            <w:r>
              <w:rPr>
                <w:rFonts w:ascii="Times New Roman" w:hAnsi="Times New Roman"/>
                <w:sz w:val="20"/>
              </w:rPr>
              <w:t>AFCAPS/TexCAPS (1998)</w:t>
            </w:r>
          </w:p>
        </w:tc>
        <w:tc>
          <w:tcPr>
            <w:tcW w:type="dxa" w:w="1881"/>
          </w:tcPr>
          <w:p>
            <w:r>
              <w:rPr>
                <w:rFonts w:ascii="Times New Roman" w:hAnsi="Times New Roman"/>
                <w:sz w:val="20"/>
              </w:rPr>
              <w:t>10</w:t>
            </w:r>
          </w:p>
        </w:tc>
        <w:tc>
          <w:tcPr>
            <w:tcW w:type="dxa" w:w="1881"/>
          </w:tcPr>
          <w:p>
            <w:r>
              <w:rPr>
                <w:rFonts w:ascii="Times New Roman" w:hAnsi="Times New Roman"/>
                <w:sz w:val="20"/>
              </w:rPr>
              <w:t>1</w:t>
            </w:r>
          </w:p>
        </w:tc>
        <w:tc>
          <w:tcPr>
            <w:tcW w:type="dxa" w:w="1881"/>
          </w:tcPr>
          <w:p>
            <w:r>
              <w:rPr>
                <w:rFonts w:ascii="Times New Roman" w:hAnsi="Times New Roman"/>
                <w:sz w:val="20"/>
              </w:rPr>
              <w:t>0.100</w:t>
            </w:r>
          </w:p>
        </w:tc>
        <w:tc>
          <w:tcPr>
            <w:tcW w:type="dxa" w:w="1881"/>
          </w:tcPr>
          <w:p>
            <w:r>
              <w:rPr>
                <w:rFonts w:ascii="Times New Roman" w:hAnsi="Times New Roman"/>
                <w:sz w:val="20"/>
              </w:rPr>
              <w:t>-0.110</w:t>
            </w:r>
          </w:p>
        </w:tc>
      </w:tr>
    </w:tbl>
    <w:p>
      <w:pPr>
        <w:spacing w:line="480" w:lineRule="auto"/>
      </w:pPr>
      <w:r>
        <w:rPr>
          <w:rFonts w:ascii="Times New Roman" w:hAnsi="Times New Roman"/>
          <w:b w:val="0"/>
          <w:i/>
          <w:sz w:val="24"/>
        </w:rPr>
        <w:t>Table 2. Statin therapy RCTs: ICR values and effect sizes.</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ICRD = 0.009, ICR CV = 0.041. Meta-analysis I-squared = 0.0%. Pooled effect: -0.251 [-0.363, -0.138].</w:t>
      </w:r>
    </w:p>
    <w:p>
      <w:pPr>
        <w:spacing w:line="480" w:lineRule="auto"/>
      </w:pPr>
      <w:r>
        <w:rPr>
          <w:rFonts w:ascii="Times New Roman" w:hAnsi="Times New Roman"/>
          <w:b w:val="0"/>
          <w:i w:val="0"/>
          <w:sz w:val="24"/>
        </w:rPr>
      </w:r>
    </w:p>
    <w:p>
      <w:pPr>
        <w:spacing w:line="480" w:lineRule="auto"/>
      </w:pPr>
      <w:r>
        <w:rPr>
          <w:rFonts w:ascii="Times New Roman" w:hAnsi="Times New Roman"/>
          <w:b/>
          <w:i w:val="0"/>
          <w:sz w:val="24"/>
        </w:rPr>
        <w:t>Intensive glucose control (heterogeneous meta-analysis)</w:t>
      </w:r>
    </w:p>
    <w:p>
      <w:pPr>
        <w:spacing w:line="480" w:lineRule="auto"/>
      </w:pPr>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Study</w:t>
            </w:r>
          </w:p>
        </w:tc>
        <w:tc>
          <w:tcPr>
            <w:tcW w:type="dxa" w:w="1881"/>
          </w:tcPr>
          <w:p>
            <w:r>
              <w:rPr>
                <w:rFonts w:ascii="Times New Roman" w:hAnsi="Times New Roman"/>
                <w:b/>
                <w:sz w:val="20"/>
              </w:rPr>
              <w:t>D</w:t>
            </w:r>
          </w:p>
        </w:tc>
        <w:tc>
          <w:tcPr>
            <w:tcW w:type="dxa" w:w="1881"/>
          </w:tcPr>
          <w:p>
            <w:r>
              <w:rPr>
                <w:rFonts w:ascii="Times New Roman" w:hAnsi="Times New Roman"/>
                <w:b/>
                <w:sz w:val="20"/>
              </w:rPr>
              <w:t>d</w:t>
            </w:r>
          </w:p>
        </w:tc>
        <w:tc>
          <w:tcPr>
            <w:tcW w:type="dxa" w:w="1881"/>
          </w:tcPr>
          <w:p>
            <w:r>
              <w:rPr>
                <w:rFonts w:ascii="Times New Roman" w:hAnsi="Times New Roman"/>
                <w:b/>
                <w:sz w:val="20"/>
              </w:rPr>
              <w:t>ICR_std</w:t>
            </w:r>
          </w:p>
        </w:tc>
        <w:tc>
          <w:tcPr>
            <w:tcW w:type="dxa" w:w="1881"/>
          </w:tcPr>
          <w:p>
            <w:r>
              <w:rPr>
                <w:rFonts w:ascii="Times New Roman" w:hAnsi="Times New Roman"/>
                <w:b/>
                <w:sz w:val="20"/>
              </w:rPr>
              <w:t>Effect Size</w:t>
            </w:r>
          </w:p>
        </w:tc>
      </w:tr>
      <w:tr>
        <w:tc>
          <w:tcPr>
            <w:tcW w:type="dxa" w:w="1881"/>
          </w:tcPr>
          <w:p>
            <w:r>
              <w:rPr>
                <w:rFonts w:ascii="Times New Roman" w:hAnsi="Times New Roman"/>
                <w:sz w:val="20"/>
              </w:rPr>
              <w:t>UKPDS 33 (1998)</w:t>
            </w:r>
          </w:p>
        </w:tc>
        <w:tc>
          <w:tcPr>
            <w:tcW w:type="dxa" w:w="1881"/>
          </w:tcPr>
          <w:p>
            <w:r>
              <w:rPr>
                <w:rFonts w:ascii="Times New Roman" w:hAnsi="Times New Roman"/>
                <w:sz w:val="20"/>
              </w:rPr>
              <w:t>8</w:t>
            </w:r>
          </w:p>
        </w:tc>
        <w:tc>
          <w:tcPr>
            <w:tcW w:type="dxa" w:w="1881"/>
          </w:tcPr>
          <w:p>
            <w:r>
              <w:rPr>
                <w:rFonts w:ascii="Times New Roman" w:hAnsi="Times New Roman"/>
                <w:sz w:val="20"/>
              </w:rPr>
              <w:t>1</w:t>
            </w:r>
          </w:p>
        </w:tc>
        <w:tc>
          <w:tcPr>
            <w:tcW w:type="dxa" w:w="1881"/>
          </w:tcPr>
          <w:p>
            <w:r>
              <w:rPr>
                <w:rFonts w:ascii="Times New Roman" w:hAnsi="Times New Roman"/>
                <w:sz w:val="20"/>
              </w:rPr>
              <w:t>0.125</w:t>
            </w:r>
          </w:p>
        </w:tc>
        <w:tc>
          <w:tcPr>
            <w:tcW w:type="dxa" w:w="1881"/>
          </w:tcPr>
          <w:p>
            <w:r>
              <w:rPr>
                <w:rFonts w:ascii="Times New Roman" w:hAnsi="Times New Roman"/>
                <w:sz w:val="20"/>
              </w:rPr>
              <w:t>-0.060</w:t>
            </w:r>
          </w:p>
        </w:tc>
      </w:tr>
      <w:tr>
        <w:tc>
          <w:tcPr>
            <w:tcW w:type="dxa" w:w="1881"/>
          </w:tcPr>
          <w:p>
            <w:r>
              <w:rPr>
                <w:rFonts w:ascii="Times New Roman" w:hAnsi="Times New Roman"/>
                <w:sz w:val="20"/>
              </w:rPr>
              <w:t>ACCORD (2008)</w:t>
            </w:r>
          </w:p>
        </w:tc>
        <w:tc>
          <w:tcPr>
            <w:tcW w:type="dxa" w:w="1881"/>
          </w:tcPr>
          <w:p>
            <w:r>
              <w:rPr>
                <w:rFonts w:ascii="Times New Roman" w:hAnsi="Times New Roman"/>
                <w:sz w:val="20"/>
              </w:rPr>
              <w:t>13</w:t>
            </w:r>
          </w:p>
        </w:tc>
        <w:tc>
          <w:tcPr>
            <w:tcW w:type="dxa" w:w="1881"/>
          </w:tcPr>
          <w:p>
            <w:r>
              <w:rPr>
                <w:rFonts w:ascii="Times New Roman" w:hAnsi="Times New Roman"/>
                <w:sz w:val="20"/>
              </w:rPr>
              <w:t>1</w:t>
            </w:r>
          </w:p>
        </w:tc>
        <w:tc>
          <w:tcPr>
            <w:tcW w:type="dxa" w:w="1881"/>
          </w:tcPr>
          <w:p>
            <w:r>
              <w:rPr>
                <w:rFonts w:ascii="Times New Roman" w:hAnsi="Times New Roman"/>
                <w:sz w:val="20"/>
              </w:rPr>
              <w:t>0.077</w:t>
            </w:r>
          </w:p>
        </w:tc>
        <w:tc>
          <w:tcPr>
            <w:tcW w:type="dxa" w:w="1881"/>
          </w:tcPr>
          <w:p>
            <w:r>
              <w:rPr>
                <w:rFonts w:ascii="Times New Roman" w:hAnsi="Times New Roman"/>
                <w:sz w:val="20"/>
              </w:rPr>
              <w:t>+0.220</w:t>
            </w:r>
          </w:p>
        </w:tc>
      </w:tr>
      <w:tr>
        <w:tc>
          <w:tcPr>
            <w:tcW w:type="dxa" w:w="1881"/>
          </w:tcPr>
          <w:p>
            <w:r>
              <w:rPr>
                <w:rFonts w:ascii="Times New Roman" w:hAnsi="Times New Roman"/>
                <w:sz w:val="20"/>
              </w:rPr>
              <w:t>ADVANCE (2008)</w:t>
            </w:r>
          </w:p>
        </w:tc>
        <w:tc>
          <w:tcPr>
            <w:tcW w:type="dxa" w:w="1881"/>
          </w:tcPr>
          <w:p>
            <w:r>
              <w:rPr>
                <w:rFonts w:ascii="Times New Roman" w:hAnsi="Times New Roman"/>
                <w:sz w:val="20"/>
              </w:rPr>
              <w:t>12</w:t>
            </w:r>
          </w:p>
        </w:tc>
        <w:tc>
          <w:tcPr>
            <w:tcW w:type="dxa" w:w="1881"/>
          </w:tcPr>
          <w:p>
            <w:r>
              <w:rPr>
                <w:rFonts w:ascii="Times New Roman" w:hAnsi="Times New Roman"/>
                <w:sz w:val="20"/>
              </w:rPr>
              <w:t>1</w:t>
            </w:r>
          </w:p>
        </w:tc>
        <w:tc>
          <w:tcPr>
            <w:tcW w:type="dxa" w:w="1881"/>
          </w:tcPr>
          <w:p>
            <w:r>
              <w:rPr>
                <w:rFonts w:ascii="Times New Roman" w:hAnsi="Times New Roman"/>
                <w:sz w:val="20"/>
              </w:rPr>
              <w:t>0.083</w:t>
            </w:r>
          </w:p>
        </w:tc>
        <w:tc>
          <w:tcPr>
            <w:tcW w:type="dxa" w:w="1881"/>
          </w:tcPr>
          <w:p>
            <w:r>
              <w:rPr>
                <w:rFonts w:ascii="Times New Roman" w:hAnsi="Times New Roman"/>
                <w:sz w:val="20"/>
              </w:rPr>
              <w:t>-0.070</w:t>
            </w:r>
          </w:p>
        </w:tc>
      </w:tr>
      <w:tr>
        <w:tc>
          <w:tcPr>
            <w:tcW w:type="dxa" w:w="1881"/>
          </w:tcPr>
          <w:p>
            <w:r>
              <w:rPr>
                <w:rFonts w:ascii="Times New Roman" w:hAnsi="Times New Roman"/>
                <w:sz w:val="20"/>
              </w:rPr>
              <w:t>VADT (2009)</w:t>
            </w:r>
          </w:p>
        </w:tc>
        <w:tc>
          <w:tcPr>
            <w:tcW w:type="dxa" w:w="1881"/>
          </w:tcPr>
          <w:p>
            <w:r>
              <w:rPr>
                <w:rFonts w:ascii="Times New Roman" w:hAnsi="Times New Roman"/>
                <w:sz w:val="20"/>
              </w:rPr>
              <w:t>12</w:t>
            </w:r>
          </w:p>
        </w:tc>
        <w:tc>
          <w:tcPr>
            <w:tcW w:type="dxa" w:w="1881"/>
          </w:tcPr>
          <w:p>
            <w:r>
              <w:rPr>
                <w:rFonts w:ascii="Times New Roman" w:hAnsi="Times New Roman"/>
                <w:sz w:val="20"/>
              </w:rPr>
              <w:t>1</w:t>
            </w:r>
          </w:p>
        </w:tc>
        <w:tc>
          <w:tcPr>
            <w:tcW w:type="dxa" w:w="1881"/>
          </w:tcPr>
          <w:p>
            <w:r>
              <w:rPr>
                <w:rFonts w:ascii="Times New Roman" w:hAnsi="Times New Roman"/>
                <w:sz w:val="20"/>
              </w:rPr>
              <w:t>0.083</w:t>
            </w:r>
          </w:p>
        </w:tc>
        <w:tc>
          <w:tcPr>
            <w:tcW w:type="dxa" w:w="1881"/>
          </w:tcPr>
          <w:p>
            <w:r>
              <w:rPr>
                <w:rFonts w:ascii="Times New Roman" w:hAnsi="Times New Roman"/>
                <w:sz w:val="20"/>
              </w:rPr>
              <w:t>-0.020</w:t>
            </w:r>
          </w:p>
        </w:tc>
      </w:tr>
    </w:tbl>
    <w:p>
      <w:pPr>
        <w:spacing w:line="480" w:lineRule="auto"/>
      </w:pPr>
      <w:r>
        <w:rPr>
          <w:rFonts w:ascii="Times New Roman" w:hAnsi="Times New Roman"/>
          <w:b w:val="0"/>
          <w:i/>
          <w:sz w:val="24"/>
        </w:rPr>
        <w:t>Table 3. Glucose control RCTs: ICR values and effect sizes.</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ICRD = 0.048, ICR CV = 0.240. Meta-analysis I-squared = 17.0%. Pooled effect: -0.003 [-0.131, +0.124].</w:t>
      </w:r>
    </w:p>
    <w:p>
      <w:pPr>
        <w:spacing w:line="480" w:lineRule="auto"/>
      </w:pPr>
      <w:r>
        <w:rPr>
          <w:rFonts w:ascii="Times New Roman" w:hAnsi="Times New Roman"/>
          <w:b w:val="0"/>
          <w:i w:val="0"/>
          <w:sz w:val="24"/>
        </w:rPr>
      </w:r>
    </w:p>
    <w:p>
      <w:r>
        <w:drawing>
          <wp:inline xmlns:a="http://schemas.openxmlformats.org/drawingml/2006/main" xmlns:pic="http://schemas.openxmlformats.org/drawingml/2006/picture">
            <wp:extent cx="5029200" cy="4339804"/>
            <wp:docPr id="3" name="Picture 3"/>
            <wp:cNvGraphicFramePr>
              <a:graphicFrameLocks noChangeAspect="1"/>
            </wp:cNvGraphicFramePr>
            <a:graphic>
              <a:graphicData uri="http://schemas.openxmlformats.org/drawingml/2006/picture">
                <pic:pic>
                  <pic:nvPicPr>
                    <pic:cNvPr id="0" name="fig_realworld_statin.png"/>
                    <pic:cNvPicPr/>
                  </pic:nvPicPr>
                  <pic:blipFill>
                    <a:blip r:embed="rId11"/>
                    <a:stretch>
                      <a:fillRect/>
                    </a:stretch>
                  </pic:blipFill>
                  <pic:spPr>
                    <a:xfrm>
                      <a:off x="0" y="0"/>
                      <a:ext cx="5029200" cy="4339804"/>
                    </a:xfrm>
                    <a:prstGeom prst="rect"/>
                  </pic:spPr>
                </pic:pic>
              </a:graphicData>
            </a:graphic>
          </wp:inline>
        </w:drawing>
      </w:r>
    </w:p>
    <w:p>
      <w:pPr>
        <w:spacing w:line="480" w:lineRule="auto"/>
      </w:pPr>
      <w:r>
        <w:rPr>
          <w:rFonts w:ascii="Times New Roman" w:hAnsi="Times New Roman"/>
          <w:b w:val="0"/>
          <w:i/>
          <w:sz w:val="24"/>
        </w:rPr>
        <w:t>Figure 3. ICR analysis of statin therapy RCTs.</w:t>
      </w:r>
    </w:p>
    <w:p>
      <w:r>
        <w:drawing>
          <wp:inline xmlns:a="http://schemas.openxmlformats.org/drawingml/2006/main" xmlns:pic="http://schemas.openxmlformats.org/drawingml/2006/picture">
            <wp:extent cx="5029200" cy="4338585"/>
            <wp:docPr id="4" name="Picture 4"/>
            <wp:cNvGraphicFramePr>
              <a:graphicFrameLocks noChangeAspect="1"/>
            </wp:cNvGraphicFramePr>
            <a:graphic>
              <a:graphicData uri="http://schemas.openxmlformats.org/drawingml/2006/picture">
                <pic:pic>
                  <pic:nvPicPr>
                    <pic:cNvPr id="0" name="fig_realworld_glucose_control.png"/>
                    <pic:cNvPicPr/>
                  </pic:nvPicPr>
                  <pic:blipFill>
                    <a:blip r:embed="rId12"/>
                    <a:stretch>
                      <a:fillRect/>
                    </a:stretch>
                  </pic:blipFill>
                  <pic:spPr>
                    <a:xfrm>
                      <a:off x="0" y="0"/>
                      <a:ext cx="5029200" cy="4338585"/>
                    </a:xfrm>
                    <a:prstGeom prst="rect"/>
                  </pic:spPr>
                </pic:pic>
              </a:graphicData>
            </a:graphic>
          </wp:inline>
        </w:drawing>
      </w:r>
    </w:p>
    <w:p>
      <w:pPr>
        <w:spacing w:line="480" w:lineRule="auto"/>
      </w:pPr>
      <w:r>
        <w:rPr>
          <w:rFonts w:ascii="Times New Roman" w:hAnsi="Times New Roman"/>
          <w:b w:val="0"/>
          <w:i/>
          <w:sz w:val="24"/>
        </w:rPr>
        <w:t>Figure 4. ICR analysis of intensive glucose control RCTs.</w:t>
      </w:r>
    </w:p>
    <w:p>
      <w:pPr>
        <w:pStyle w:val="Heading2"/>
      </w:pPr>
      <w:r>
        <w:rPr>
          <w:rFonts w:ascii="Times New Roman" w:hAnsi="Times New Roman"/>
          <w:color w:val="000000"/>
        </w:rPr>
        <w:t>PCA-based ICR validation (Approach 2: IST individual patient data)</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rFonts w:ascii="Times New Roman" w:hAnsi="Times New Roman"/>
                <w:b/>
                <w:sz w:val="20"/>
              </w:rPr>
              <w:t>Country</w:t>
            </w:r>
          </w:p>
        </w:tc>
        <w:tc>
          <w:tcPr>
            <w:tcW w:type="dxa" w:w="1344"/>
          </w:tcPr>
          <w:p>
            <w:r>
              <w:rPr>
                <w:rFonts w:ascii="Times New Roman" w:hAnsi="Times New Roman"/>
                <w:b/>
                <w:sz w:val="20"/>
              </w:rPr>
              <w:t>n</w:t>
            </w:r>
          </w:p>
        </w:tc>
        <w:tc>
          <w:tcPr>
            <w:tcW w:type="dxa" w:w="1344"/>
          </w:tcPr>
          <w:p>
            <w:r>
              <w:rPr>
                <w:rFonts w:ascii="Times New Roman" w:hAnsi="Times New Roman"/>
                <w:b/>
                <w:sz w:val="20"/>
              </w:rPr>
              <w:t>Mortality</w:t>
            </w:r>
          </w:p>
        </w:tc>
        <w:tc>
          <w:tcPr>
            <w:tcW w:type="dxa" w:w="1344"/>
          </w:tcPr>
          <w:p>
            <w:r>
              <w:rPr>
                <w:rFonts w:ascii="Times New Roman" w:hAnsi="Times New Roman"/>
                <w:b/>
                <w:sz w:val="20"/>
              </w:rPr>
              <w:t>ICR_std</w:t>
            </w:r>
          </w:p>
        </w:tc>
        <w:tc>
          <w:tcPr>
            <w:tcW w:type="dxa" w:w="1344"/>
          </w:tcPr>
          <w:p>
            <w:r>
              <w:rPr>
                <w:rFonts w:ascii="Times New Roman" w:hAnsi="Times New Roman"/>
                <w:b/>
                <w:sz w:val="20"/>
              </w:rPr>
              <w:t>ICR_pca (loading)</w:t>
            </w:r>
          </w:p>
        </w:tc>
        <w:tc>
          <w:tcPr>
            <w:tcW w:type="dxa" w:w="1344"/>
          </w:tcPr>
          <w:p>
            <w:r>
              <w:rPr>
                <w:rFonts w:ascii="Times New Roman" w:hAnsi="Times New Roman"/>
                <w:b/>
                <w:sz w:val="20"/>
              </w:rPr>
              <w:t>ICR_pca (regression)</w:t>
            </w:r>
          </w:p>
        </w:tc>
        <w:tc>
          <w:tcPr>
            <w:tcW w:type="dxa" w:w="1344"/>
          </w:tcPr>
          <w:p>
            <w:r>
              <w:rPr>
                <w:rFonts w:ascii="Times New Roman" w:hAnsi="Times New Roman"/>
                <w:b/>
                <w:sz w:val="20"/>
              </w:rPr>
              <w:t>Endpoint PCs</w:t>
            </w:r>
          </w:p>
        </w:tc>
      </w:tr>
      <w:tr>
        <w:tc>
          <w:tcPr>
            <w:tcW w:type="dxa" w:w="1344"/>
          </w:tcPr>
          <w:p>
            <w:r>
              <w:rPr>
                <w:rFonts w:ascii="Times New Roman" w:hAnsi="Times New Roman"/>
                <w:sz w:val="20"/>
              </w:rPr>
              <w:t>UK</w:t>
            </w:r>
          </w:p>
        </w:tc>
        <w:tc>
          <w:tcPr>
            <w:tcW w:type="dxa" w:w="1344"/>
          </w:tcPr>
          <w:p>
            <w:r>
              <w:rPr>
                <w:rFonts w:ascii="Times New Roman" w:hAnsi="Times New Roman"/>
                <w:sz w:val="20"/>
              </w:rPr>
              <w:t>5,787</w:t>
            </w:r>
          </w:p>
        </w:tc>
        <w:tc>
          <w:tcPr>
            <w:tcW w:type="dxa" w:w="1344"/>
          </w:tcPr>
          <w:p>
            <w:r>
              <w:rPr>
                <w:rFonts w:ascii="Times New Roman" w:hAnsi="Times New Roman"/>
                <w:sz w:val="20"/>
              </w:rPr>
              <w:t>28.6%</w:t>
            </w:r>
          </w:p>
        </w:tc>
        <w:tc>
          <w:tcPr>
            <w:tcW w:type="dxa" w:w="1344"/>
          </w:tcPr>
          <w:p>
            <w:r>
              <w:rPr>
                <w:rFonts w:ascii="Times New Roman" w:hAnsi="Times New Roman"/>
                <w:sz w:val="20"/>
              </w:rPr>
              <w:t>0.040</w:t>
            </w:r>
          </w:p>
        </w:tc>
        <w:tc>
          <w:tcPr>
            <w:tcW w:type="dxa" w:w="1344"/>
          </w:tcPr>
          <w:p>
            <w:r>
              <w:rPr>
                <w:rFonts w:ascii="Times New Roman" w:hAnsi="Times New Roman"/>
                <w:sz w:val="20"/>
              </w:rPr>
              <w:t>0.138</w:t>
            </w:r>
          </w:p>
        </w:tc>
        <w:tc>
          <w:tcPr>
            <w:tcW w:type="dxa" w:w="1344"/>
          </w:tcPr>
          <w:p>
            <w:r>
              <w:rPr>
                <w:rFonts w:ascii="Times New Roman" w:hAnsi="Times New Roman"/>
                <w:sz w:val="20"/>
              </w:rPr>
              <w:t>0.00162</w:t>
            </w:r>
          </w:p>
        </w:tc>
        <w:tc>
          <w:tcPr>
            <w:tcW w:type="dxa" w:w="1344"/>
          </w:tcPr>
          <w:p>
            <w:r>
              <w:rPr>
                <w:rFonts w:ascii="Times New Roman" w:hAnsi="Times New Roman"/>
                <w:sz w:val="20"/>
              </w:rPr>
              <w:t>4</w:t>
            </w:r>
          </w:p>
        </w:tc>
      </w:tr>
      <w:tr>
        <w:tc>
          <w:tcPr>
            <w:tcW w:type="dxa" w:w="1344"/>
          </w:tcPr>
          <w:p>
            <w:r>
              <w:rPr>
                <w:rFonts w:ascii="Times New Roman" w:hAnsi="Times New Roman"/>
                <w:sz w:val="20"/>
              </w:rPr>
              <w:t>Italy</w:t>
            </w:r>
          </w:p>
        </w:tc>
        <w:tc>
          <w:tcPr>
            <w:tcW w:type="dxa" w:w="1344"/>
          </w:tcPr>
          <w:p>
            <w:r>
              <w:rPr>
                <w:rFonts w:ascii="Times New Roman" w:hAnsi="Times New Roman"/>
                <w:sz w:val="20"/>
              </w:rPr>
              <w:t>3,112</w:t>
            </w:r>
          </w:p>
        </w:tc>
        <w:tc>
          <w:tcPr>
            <w:tcW w:type="dxa" w:w="1344"/>
          </w:tcPr>
          <w:p>
            <w:r>
              <w:rPr>
                <w:rFonts w:ascii="Times New Roman" w:hAnsi="Times New Roman"/>
                <w:sz w:val="20"/>
              </w:rPr>
              <w:t>20.0%</w:t>
            </w:r>
          </w:p>
        </w:tc>
        <w:tc>
          <w:tcPr>
            <w:tcW w:type="dxa" w:w="1344"/>
          </w:tcPr>
          <w:p>
            <w:r>
              <w:rPr>
                <w:rFonts w:ascii="Times New Roman" w:hAnsi="Times New Roman"/>
                <w:sz w:val="20"/>
              </w:rPr>
              <w:t>0.040</w:t>
            </w:r>
          </w:p>
        </w:tc>
        <w:tc>
          <w:tcPr>
            <w:tcW w:type="dxa" w:w="1344"/>
          </w:tcPr>
          <w:p>
            <w:r>
              <w:rPr>
                <w:rFonts w:ascii="Times New Roman" w:hAnsi="Times New Roman"/>
                <w:sz w:val="20"/>
              </w:rPr>
              <w:t>0.046</w:t>
            </w:r>
          </w:p>
        </w:tc>
        <w:tc>
          <w:tcPr>
            <w:tcW w:type="dxa" w:w="1344"/>
          </w:tcPr>
          <w:p>
            <w:r>
              <w:rPr>
                <w:rFonts w:ascii="Times New Roman" w:hAnsi="Times New Roman"/>
                <w:sz w:val="20"/>
              </w:rPr>
              <w:t>0.00153</w:t>
            </w:r>
          </w:p>
        </w:tc>
        <w:tc>
          <w:tcPr>
            <w:tcW w:type="dxa" w:w="1344"/>
          </w:tcPr>
          <w:p>
            <w:r>
              <w:rPr>
                <w:rFonts w:ascii="Times New Roman" w:hAnsi="Times New Roman"/>
                <w:sz w:val="20"/>
              </w:rPr>
              <w:t>2</w:t>
            </w:r>
          </w:p>
        </w:tc>
      </w:tr>
      <w:tr>
        <w:tc>
          <w:tcPr>
            <w:tcW w:type="dxa" w:w="1344"/>
          </w:tcPr>
          <w:p>
            <w:r>
              <w:rPr>
                <w:rFonts w:ascii="Times New Roman" w:hAnsi="Times New Roman"/>
                <w:sz w:val="20"/>
              </w:rPr>
              <w:t>Switzerland</w:t>
            </w:r>
          </w:p>
        </w:tc>
        <w:tc>
          <w:tcPr>
            <w:tcW w:type="dxa" w:w="1344"/>
          </w:tcPr>
          <w:p>
            <w:r>
              <w:rPr>
                <w:rFonts w:ascii="Times New Roman" w:hAnsi="Times New Roman"/>
                <w:sz w:val="20"/>
              </w:rPr>
              <w:t>1,631</w:t>
            </w:r>
          </w:p>
        </w:tc>
        <w:tc>
          <w:tcPr>
            <w:tcW w:type="dxa" w:w="1344"/>
          </w:tcPr>
          <w:p>
            <w:r>
              <w:rPr>
                <w:rFonts w:ascii="Times New Roman" w:hAnsi="Times New Roman"/>
                <w:sz w:val="20"/>
              </w:rPr>
              <w:t>23.1%</w:t>
            </w:r>
          </w:p>
        </w:tc>
        <w:tc>
          <w:tcPr>
            <w:tcW w:type="dxa" w:w="1344"/>
          </w:tcPr>
          <w:p>
            <w:r>
              <w:rPr>
                <w:rFonts w:ascii="Times New Roman" w:hAnsi="Times New Roman"/>
                <w:sz w:val="20"/>
              </w:rPr>
              <w:t>0.040</w:t>
            </w:r>
          </w:p>
        </w:tc>
        <w:tc>
          <w:tcPr>
            <w:tcW w:type="dxa" w:w="1344"/>
          </w:tcPr>
          <w:p>
            <w:r>
              <w:rPr>
                <w:rFonts w:ascii="Times New Roman" w:hAnsi="Times New Roman"/>
                <w:sz w:val="20"/>
              </w:rPr>
              <w:t>0.121</w:t>
            </w:r>
          </w:p>
        </w:tc>
        <w:tc>
          <w:tcPr>
            <w:tcW w:type="dxa" w:w="1344"/>
          </w:tcPr>
          <w:p>
            <w:r>
              <w:rPr>
                <w:rFonts w:ascii="Times New Roman" w:hAnsi="Times New Roman"/>
                <w:sz w:val="20"/>
              </w:rPr>
              <w:t>0.00135</w:t>
            </w:r>
          </w:p>
        </w:tc>
        <w:tc>
          <w:tcPr>
            <w:tcW w:type="dxa" w:w="1344"/>
          </w:tcPr>
          <w:p>
            <w:r>
              <w:rPr>
                <w:rFonts w:ascii="Times New Roman" w:hAnsi="Times New Roman"/>
                <w:sz w:val="20"/>
              </w:rPr>
              <w:t>4</w:t>
            </w:r>
          </w:p>
        </w:tc>
      </w:tr>
      <w:tr>
        <w:tc>
          <w:tcPr>
            <w:tcW w:type="dxa" w:w="1344"/>
          </w:tcPr>
          <w:p>
            <w:r>
              <w:rPr>
                <w:rFonts w:ascii="Times New Roman" w:hAnsi="Times New Roman"/>
                <w:sz w:val="20"/>
              </w:rPr>
              <w:t>Poland</w:t>
            </w:r>
          </w:p>
        </w:tc>
        <w:tc>
          <w:tcPr>
            <w:tcW w:type="dxa" w:w="1344"/>
          </w:tcPr>
          <w:p>
            <w:r>
              <w:rPr>
                <w:rFonts w:ascii="Times New Roman" w:hAnsi="Times New Roman"/>
                <w:sz w:val="20"/>
              </w:rPr>
              <w:t>759</w:t>
            </w:r>
          </w:p>
        </w:tc>
        <w:tc>
          <w:tcPr>
            <w:tcW w:type="dxa" w:w="1344"/>
          </w:tcPr>
          <w:p>
            <w:r>
              <w:rPr>
                <w:rFonts w:ascii="Times New Roman" w:hAnsi="Times New Roman"/>
                <w:sz w:val="20"/>
              </w:rPr>
              <w:t>29.6%</w:t>
            </w:r>
          </w:p>
        </w:tc>
        <w:tc>
          <w:tcPr>
            <w:tcW w:type="dxa" w:w="1344"/>
          </w:tcPr>
          <w:p>
            <w:r>
              <w:rPr>
                <w:rFonts w:ascii="Times New Roman" w:hAnsi="Times New Roman"/>
                <w:sz w:val="20"/>
              </w:rPr>
              <w:t>0.040</w:t>
            </w:r>
          </w:p>
        </w:tc>
        <w:tc>
          <w:tcPr>
            <w:tcW w:type="dxa" w:w="1344"/>
          </w:tcPr>
          <w:p>
            <w:r>
              <w:rPr>
                <w:rFonts w:ascii="Times New Roman" w:hAnsi="Times New Roman"/>
                <w:sz w:val="20"/>
              </w:rPr>
              <w:t>0.139</w:t>
            </w:r>
          </w:p>
        </w:tc>
        <w:tc>
          <w:tcPr>
            <w:tcW w:type="dxa" w:w="1344"/>
          </w:tcPr>
          <w:p>
            <w:r>
              <w:rPr>
                <w:rFonts w:ascii="Times New Roman" w:hAnsi="Times New Roman"/>
                <w:sz w:val="20"/>
              </w:rPr>
              <w:t>0.00230</w:t>
            </w:r>
          </w:p>
        </w:tc>
        <w:tc>
          <w:tcPr>
            <w:tcW w:type="dxa" w:w="1344"/>
          </w:tcPr>
          <w:p>
            <w:r>
              <w:rPr>
                <w:rFonts w:ascii="Times New Roman" w:hAnsi="Times New Roman"/>
                <w:sz w:val="20"/>
              </w:rPr>
              <w:t>4</w:t>
            </w:r>
          </w:p>
        </w:tc>
      </w:tr>
      <w:tr>
        <w:tc>
          <w:tcPr>
            <w:tcW w:type="dxa" w:w="1344"/>
          </w:tcPr>
          <w:p>
            <w:r>
              <w:rPr>
                <w:rFonts w:ascii="Times New Roman" w:hAnsi="Times New Roman"/>
                <w:sz w:val="20"/>
              </w:rPr>
              <w:t>Netherlands</w:t>
            </w:r>
          </w:p>
        </w:tc>
        <w:tc>
          <w:tcPr>
            <w:tcW w:type="dxa" w:w="1344"/>
          </w:tcPr>
          <w:p>
            <w:r>
              <w:rPr>
                <w:rFonts w:ascii="Times New Roman" w:hAnsi="Times New Roman"/>
                <w:sz w:val="20"/>
              </w:rPr>
              <w:t>728</w:t>
            </w:r>
          </w:p>
        </w:tc>
        <w:tc>
          <w:tcPr>
            <w:tcW w:type="dxa" w:w="1344"/>
          </w:tcPr>
          <w:p>
            <w:r>
              <w:rPr>
                <w:rFonts w:ascii="Times New Roman" w:hAnsi="Times New Roman"/>
                <w:sz w:val="20"/>
              </w:rPr>
              <w:t>18.3%</w:t>
            </w:r>
          </w:p>
        </w:tc>
        <w:tc>
          <w:tcPr>
            <w:tcW w:type="dxa" w:w="1344"/>
          </w:tcPr>
          <w:p>
            <w:r>
              <w:rPr>
                <w:rFonts w:ascii="Times New Roman" w:hAnsi="Times New Roman"/>
                <w:sz w:val="20"/>
              </w:rPr>
              <w:t>0.040</w:t>
            </w:r>
          </w:p>
        </w:tc>
        <w:tc>
          <w:tcPr>
            <w:tcW w:type="dxa" w:w="1344"/>
          </w:tcPr>
          <w:p>
            <w:r>
              <w:rPr>
                <w:rFonts w:ascii="Times New Roman" w:hAnsi="Times New Roman"/>
                <w:sz w:val="20"/>
              </w:rPr>
              <w:t>0.180</w:t>
            </w:r>
          </w:p>
        </w:tc>
        <w:tc>
          <w:tcPr>
            <w:tcW w:type="dxa" w:w="1344"/>
          </w:tcPr>
          <w:p>
            <w:r>
              <w:rPr>
                <w:rFonts w:ascii="Times New Roman" w:hAnsi="Times New Roman"/>
                <w:sz w:val="20"/>
              </w:rPr>
              <w:t>0.00136</w:t>
            </w:r>
          </w:p>
        </w:tc>
        <w:tc>
          <w:tcPr>
            <w:tcW w:type="dxa" w:w="1344"/>
          </w:tcPr>
          <w:p>
            <w:r>
              <w:rPr>
                <w:rFonts w:ascii="Times New Roman" w:hAnsi="Times New Roman"/>
                <w:sz w:val="20"/>
              </w:rPr>
              <w:t>5</w:t>
            </w:r>
          </w:p>
        </w:tc>
      </w:tr>
      <w:tr>
        <w:tc>
          <w:tcPr>
            <w:tcW w:type="dxa" w:w="1344"/>
          </w:tcPr>
          <w:p>
            <w:r>
              <w:rPr>
                <w:rFonts w:ascii="Times New Roman" w:hAnsi="Times New Roman"/>
                <w:sz w:val="20"/>
              </w:rPr>
              <w:t>Sweden</w:t>
            </w:r>
          </w:p>
        </w:tc>
        <w:tc>
          <w:tcPr>
            <w:tcW w:type="dxa" w:w="1344"/>
          </w:tcPr>
          <w:p>
            <w:r>
              <w:rPr>
                <w:rFonts w:ascii="Times New Roman" w:hAnsi="Times New Roman"/>
                <w:sz w:val="20"/>
              </w:rPr>
              <w:t>636</w:t>
            </w:r>
          </w:p>
        </w:tc>
        <w:tc>
          <w:tcPr>
            <w:tcW w:type="dxa" w:w="1344"/>
          </w:tcPr>
          <w:p>
            <w:r>
              <w:rPr>
                <w:rFonts w:ascii="Times New Roman" w:hAnsi="Times New Roman"/>
                <w:sz w:val="20"/>
              </w:rPr>
              <w:t>12.7%</w:t>
            </w:r>
          </w:p>
        </w:tc>
        <w:tc>
          <w:tcPr>
            <w:tcW w:type="dxa" w:w="1344"/>
          </w:tcPr>
          <w:p>
            <w:r>
              <w:rPr>
                <w:rFonts w:ascii="Times New Roman" w:hAnsi="Times New Roman"/>
                <w:sz w:val="20"/>
              </w:rPr>
              <w:t>0.040</w:t>
            </w:r>
          </w:p>
        </w:tc>
        <w:tc>
          <w:tcPr>
            <w:tcW w:type="dxa" w:w="1344"/>
          </w:tcPr>
          <w:p>
            <w:r>
              <w:rPr>
                <w:rFonts w:ascii="Times New Roman" w:hAnsi="Times New Roman"/>
                <w:sz w:val="20"/>
              </w:rPr>
              <w:t>0.096</w:t>
            </w:r>
          </w:p>
        </w:tc>
        <w:tc>
          <w:tcPr>
            <w:tcW w:type="dxa" w:w="1344"/>
          </w:tcPr>
          <w:p>
            <w:r>
              <w:rPr>
                <w:rFonts w:ascii="Times New Roman" w:hAnsi="Times New Roman"/>
                <w:sz w:val="20"/>
              </w:rPr>
              <w:t>0.00073</w:t>
            </w:r>
          </w:p>
        </w:tc>
        <w:tc>
          <w:tcPr>
            <w:tcW w:type="dxa" w:w="1344"/>
          </w:tcPr>
          <w:p>
            <w:r>
              <w:rPr>
                <w:rFonts w:ascii="Times New Roman" w:hAnsi="Times New Roman"/>
                <w:sz w:val="20"/>
              </w:rPr>
              <w:t>3</w:t>
            </w:r>
          </w:p>
        </w:tc>
      </w:tr>
      <w:tr>
        <w:tc>
          <w:tcPr>
            <w:tcW w:type="dxa" w:w="1344"/>
          </w:tcPr>
          <w:p>
            <w:r>
              <w:rPr>
                <w:rFonts w:ascii="Times New Roman" w:hAnsi="Times New Roman"/>
                <w:sz w:val="20"/>
              </w:rPr>
              <w:t>Australia</w:t>
            </w:r>
          </w:p>
        </w:tc>
        <w:tc>
          <w:tcPr>
            <w:tcW w:type="dxa" w:w="1344"/>
          </w:tcPr>
          <w:p>
            <w:r>
              <w:rPr>
                <w:rFonts w:ascii="Times New Roman" w:hAnsi="Times New Roman"/>
                <w:sz w:val="20"/>
              </w:rPr>
              <w:t>568</w:t>
            </w:r>
          </w:p>
        </w:tc>
        <w:tc>
          <w:tcPr>
            <w:tcW w:type="dxa" w:w="1344"/>
          </w:tcPr>
          <w:p>
            <w:r>
              <w:rPr>
                <w:rFonts w:ascii="Times New Roman" w:hAnsi="Times New Roman"/>
                <w:sz w:val="20"/>
              </w:rPr>
              <w:t>15.0%</w:t>
            </w:r>
          </w:p>
        </w:tc>
        <w:tc>
          <w:tcPr>
            <w:tcW w:type="dxa" w:w="1344"/>
          </w:tcPr>
          <w:p>
            <w:r>
              <w:rPr>
                <w:rFonts w:ascii="Times New Roman" w:hAnsi="Times New Roman"/>
                <w:sz w:val="20"/>
              </w:rPr>
              <w:t>0.040</w:t>
            </w:r>
          </w:p>
        </w:tc>
        <w:tc>
          <w:tcPr>
            <w:tcW w:type="dxa" w:w="1344"/>
          </w:tcPr>
          <w:p>
            <w:r>
              <w:rPr>
                <w:rFonts w:ascii="Times New Roman" w:hAnsi="Times New Roman"/>
                <w:sz w:val="20"/>
              </w:rPr>
              <w:t>0.109</w:t>
            </w:r>
          </w:p>
        </w:tc>
        <w:tc>
          <w:tcPr>
            <w:tcW w:type="dxa" w:w="1344"/>
          </w:tcPr>
          <w:p>
            <w:r>
              <w:rPr>
                <w:rFonts w:ascii="Times New Roman" w:hAnsi="Times New Roman"/>
                <w:sz w:val="20"/>
              </w:rPr>
              <w:t>0.00096</w:t>
            </w:r>
          </w:p>
        </w:tc>
        <w:tc>
          <w:tcPr>
            <w:tcW w:type="dxa" w:w="1344"/>
          </w:tcPr>
          <w:p>
            <w:r>
              <w:rPr>
                <w:rFonts w:ascii="Times New Roman" w:hAnsi="Times New Roman"/>
                <w:sz w:val="20"/>
              </w:rPr>
              <w:t>4</w:t>
            </w:r>
          </w:p>
        </w:tc>
      </w:tr>
      <w:tr>
        <w:tc>
          <w:tcPr>
            <w:tcW w:type="dxa" w:w="1344"/>
          </w:tcPr>
          <w:p>
            <w:r>
              <w:rPr>
                <w:rFonts w:ascii="Times New Roman" w:hAnsi="Times New Roman"/>
                <w:sz w:val="20"/>
              </w:rPr>
              <w:t>Argentina</w:t>
            </w:r>
          </w:p>
        </w:tc>
        <w:tc>
          <w:tcPr>
            <w:tcW w:type="dxa" w:w="1344"/>
          </w:tcPr>
          <w:p>
            <w:r>
              <w:rPr>
                <w:rFonts w:ascii="Times New Roman" w:hAnsi="Times New Roman"/>
                <w:sz w:val="20"/>
              </w:rPr>
              <w:t>545</w:t>
            </w:r>
          </w:p>
        </w:tc>
        <w:tc>
          <w:tcPr>
            <w:tcW w:type="dxa" w:w="1344"/>
          </w:tcPr>
          <w:p>
            <w:r>
              <w:rPr>
                <w:rFonts w:ascii="Times New Roman" w:hAnsi="Times New Roman"/>
                <w:sz w:val="20"/>
              </w:rPr>
              <w:t>21.8%</w:t>
            </w:r>
          </w:p>
        </w:tc>
        <w:tc>
          <w:tcPr>
            <w:tcW w:type="dxa" w:w="1344"/>
          </w:tcPr>
          <w:p>
            <w:r>
              <w:rPr>
                <w:rFonts w:ascii="Times New Roman" w:hAnsi="Times New Roman"/>
                <w:sz w:val="20"/>
              </w:rPr>
              <w:t>0.040</w:t>
            </w:r>
          </w:p>
        </w:tc>
        <w:tc>
          <w:tcPr>
            <w:tcW w:type="dxa" w:w="1344"/>
          </w:tcPr>
          <w:p>
            <w:r>
              <w:rPr>
                <w:rFonts w:ascii="Times New Roman" w:hAnsi="Times New Roman"/>
                <w:sz w:val="20"/>
              </w:rPr>
              <w:t>0.079</w:t>
            </w:r>
          </w:p>
        </w:tc>
        <w:tc>
          <w:tcPr>
            <w:tcW w:type="dxa" w:w="1344"/>
          </w:tcPr>
          <w:p>
            <w:r>
              <w:rPr>
                <w:rFonts w:ascii="Times New Roman" w:hAnsi="Times New Roman"/>
                <w:sz w:val="20"/>
              </w:rPr>
              <w:t>0.00157</w:t>
            </w:r>
          </w:p>
        </w:tc>
        <w:tc>
          <w:tcPr>
            <w:tcW w:type="dxa" w:w="1344"/>
          </w:tcPr>
          <w:p>
            <w:r>
              <w:rPr>
                <w:rFonts w:ascii="Times New Roman" w:hAnsi="Times New Roman"/>
                <w:sz w:val="20"/>
              </w:rPr>
              <w:t>3</w:t>
            </w:r>
          </w:p>
        </w:tc>
      </w:tr>
    </w:tbl>
    <w:p>
      <w:pPr>
        <w:spacing w:line="480" w:lineRule="auto"/>
      </w:pPr>
      <w:r>
        <w:rPr>
          <w:rFonts w:ascii="Times New Roman" w:hAnsi="Times New Roman"/>
          <w:b w:val="0"/>
          <w:i/>
          <w:sz w:val="24"/>
        </w:rPr>
        <w:t>Table 4. PCA-based ICR analysis of IST dataset by country sub-study.</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ICR_pca (loading) ranged from 0.046 (Italy) to 0.180 (Netherlands), CV = 0.36. Regression-based ICR_pca correlated strongly with 14-day mortality (r = 0.90, p = 0.003).</w:t>
      </w:r>
    </w:p>
    <w:p>
      <w:pPr>
        <w:spacing w:line="480" w:lineRule="auto"/>
      </w:pPr>
      <w:r>
        <w:rPr>
          <w:rFonts w:ascii="Times New Roman" w:hAnsi="Times New Roman"/>
          <w:b w:val="0"/>
          <w:i w:val="0"/>
          <w:sz w:val="24"/>
        </w:rPr>
      </w:r>
    </w:p>
    <w:p>
      <w:r>
        <w:drawing>
          <wp:inline xmlns:a="http://schemas.openxmlformats.org/drawingml/2006/main" xmlns:pic="http://schemas.openxmlformats.org/drawingml/2006/picture">
            <wp:extent cx="5029200" cy="3563658"/>
            <wp:docPr id="5" name="Picture 5"/>
            <wp:cNvGraphicFramePr>
              <a:graphicFrameLocks noChangeAspect="1"/>
            </wp:cNvGraphicFramePr>
            <a:graphic>
              <a:graphicData uri="http://schemas.openxmlformats.org/drawingml/2006/picture">
                <pic:pic>
                  <pic:nvPicPr>
                    <pic:cNvPr id="0" name="fig_pca_ist_analysis.png"/>
                    <pic:cNvPicPr/>
                  </pic:nvPicPr>
                  <pic:blipFill>
                    <a:blip r:embed="rId13"/>
                    <a:stretch>
                      <a:fillRect/>
                    </a:stretch>
                  </pic:blipFill>
                  <pic:spPr>
                    <a:xfrm>
                      <a:off x="0" y="0"/>
                      <a:ext cx="5029200" cy="3563658"/>
                    </a:xfrm>
                    <a:prstGeom prst="rect"/>
                  </pic:spPr>
                </pic:pic>
              </a:graphicData>
            </a:graphic>
          </wp:inline>
        </w:drawing>
      </w:r>
    </w:p>
    <w:p>
      <w:pPr>
        <w:spacing w:line="480" w:lineRule="auto"/>
      </w:pPr>
      <w:r>
        <w:rPr>
          <w:rFonts w:ascii="Times New Roman" w:hAnsi="Times New Roman"/>
          <w:b w:val="0"/>
          <w:i/>
          <w:sz w:val="24"/>
        </w:rPr>
        <w:t>Figure 5. PCA-based ICR analysis of the IST.</w:t>
      </w:r>
    </w:p>
    <w:p>
      <w:pPr>
        <w:pStyle w:val="Heading2"/>
      </w:pPr>
      <w:r>
        <w:rPr>
          <w:rFonts w:ascii="Times New Roman" w:hAnsi="Times New Roman"/>
          <w:color w:val="000000"/>
        </w:rPr>
        <w:t>Leave-one-out sensitivity analysis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Excluded Country</w:t>
            </w:r>
          </w:p>
        </w:tc>
        <w:tc>
          <w:tcPr>
            <w:tcW w:type="dxa" w:w="1881"/>
          </w:tcPr>
          <w:p>
            <w:r>
              <w:rPr>
                <w:rFonts w:ascii="Times New Roman" w:hAnsi="Times New Roman"/>
                <w:b/>
                <w:sz w:val="20"/>
              </w:rPr>
              <w:t>r (loading)</w:t>
            </w:r>
          </w:p>
        </w:tc>
        <w:tc>
          <w:tcPr>
            <w:tcW w:type="dxa" w:w="1881"/>
          </w:tcPr>
          <w:p>
            <w:r>
              <w:rPr>
                <w:rFonts w:ascii="Times New Roman" w:hAnsi="Times New Roman"/>
                <w:b/>
                <w:sz w:val="20"/>
              </w:rPr>
              <w:t>p-value</w:t>
            </w:r>
          </w:p>
        </w:tc>
        <w:tc>
          <w:tcPr>
            <w:tcW w:type="dxa" w:w="1881"/>
          </w:tcPr>
          <w:p>
            <w:r>
              <w:rPr>
                <w:rFonts w:ascii="Times New Roman" w:hAnsi="Times New Roman"/>
                <w:b/>
                <w:sz w:val="20"/>
              </w:rPr>
              <w:t>r (regression)</w:t>
            </w:r>
          </w:p>
        </w:tc>
        <w:tc>
          <w:tcPr>
            <w:tcW w:type="dxa" w:w="1881"/>
          </w:tcPr>
          <w:p>
            <w:r>
              <w:rPr>
                <w:rFonts w:ascii="Times New Roman" w:hAnsi="Times New Roman"/>
                <w:b/>
                <w:sz w:val="20"/>
              </w:rPr>
              <w:t>p-value</w:t>
            </w:r>
          </w:p>
        </w:tc>
      </w:tr>
      <w:tr>
        <w:tc>
          <w:tcPr>
            <w:tcW w:type="dxa" w:w="1881"/>
          </w:tcPr>
          <w:p>
            <w:r>
              <w:rPr>
                <w:rFonts w:ascii="Times New Roman" w:hAnsi="Times New Roman"/>
                <w:sz w:val="20"/>
              </w:rPr>
              <w:t>UK</w:t>
            </w:r>
          </w:p>
        </w:tc>
        <w:tc>
          <w:tcPr>
            <w:tcW w:type="dxa" w:w="1881"/>
          </w:tcPr>
          <w:p>
            <w:r>
              <w:rPr>
                <w:rFonts w:ascii="Times New Roman" w:hAnsi="Times New Roman"/>
                <w:sz w:val="20"/>
              </w:rPr>
              <w:t>0.169</w:t>
            </w:r>
          </w:p>
        </w:tc>
        <w:tc>
          <w:tcPr>
            <w:tcW w:type="dxa" w:w="1881"/>
          </w:tcPr>
          <w:p>
            <w:r>
              <w:rPr>
                <w:rFonts w:ascii="Times New Roman" w:hAnsi="Times New Roman"/>
                <w:sz w:val="20"/>
              </w:rPr>
              <w:t>0.717</w:t>
            </w:r>
          </w:p>
        </w:tc>
        <w:tc>
          <w:tcPr>
            <w:tcW w:type="dxa" w:w="1881"/>
          </w:tcPr>
          <w:p>
            <w:r>
              <w:rPr>
                <w:rFonts w:ascii="Times New Roman" w:hAnsi="Times New Roman"/>
                <w:sz w:val="20"/>
              </w:rPr>
              <w:t>0.954</w:t>
            </w:r>
          </w:p>
        </w:tc>
        <w:tc>
          <w:tcPr>
            <w:tcW w:type="dxa" w:w="1881"/>
          </w:tcPr>
          <w:p>
            <w:r>
              <w:rPr>
                <w:rFonts w:ascii="Times New Roman" w:hAnsi="Times New Roman"/>
                <w:sz w:val="20"/>
              </w:rPr>
              <w:t>0.001</w:t>
            </w:r>
          </w:p>
        </w:tc>
      </w:tr>
      <w:tr>
        <w:tc>
          <w:tcPr>
            <w:tcW w:type="dxa" w:w="1881"/>
          </w:tcPr>
          <w:p>
            <w:r>
              <w:rPr>
                <w:rFonts w:ascii="Times New Roman" w:hAnsi="Times New Roman"/>
                <w:sz w:val="20"/>
              </w:rPr>
              <w:t>Italy</w:t>
            </w:r>
          </w:p>
        </w:tc>
        <w:tc>
          <w:tcPr>
            <w:tcW w:type="dxa" w:w="1881"/>
          </w:tcPr>
          <w:p>
            <w:r>
              <w:rPr>
                <w:rFonts w:ascii="Times New Roman" w:hAnsi="Times New Roman"/>
                <w:sz w:val="20"/>
              </w:rPr>
              <w:t>0.286</w:t>
            </w:r>
          </w:p>
        </w:tc>
        <w:tc>
          <w:tcPr>
            <w:tcW w:type="dxa" w:w="1881"/>
          </w:tcPr>
          <w:p>
            <w:r>
              <w:rPr>
                <w:rFonts w:ascii="Times New Roman" w:hAnsi="Times New Roman"/>
                <w:sz w:val="20"/>
              </w:rPr>
              <w:t>0.534</w:t>
            </w:r>
          </w:p>
        </w:tc>
        <w:tc>
          <w:tcPr>
            <w:tcW w:type="dxa" w:w="1881"/>
          </w:tcPr>
          <w:p>
            <w:r>
              <w:rPr>
                <w:rFonts w:ascii="Times New Roman" w:hAnsi="Times New Roman"/>
                <w:sz w:val="20"/>
              </w:rPr>
              <w:t>0.908</w:t>
            </w:r>
          </w:p>
        </w:tc>
        <w:tc>
          <w:tcPr>
            <w:tcW w:type="dxa" w:w="1881"/>
          </w:tcPr>
          <w:p>
            <w:r>
              <w:rPr>
                <w:rFonts w:ascii="Times New Roman" w:hAnsi="Times New Roman"/>
                <w:sz w:val="20"/>
              </w:rPr>
              <w:t>0.005</w:t>
            </w:r>
          </w:p>
        </w:tc>
      </w:tr>
      <w:tr>
        <w:tc>
          <w:tcPr>
            <w:tcW w:type="dxa" w:w="1881"/>
          </w:tcPr>
          <w:p>
            <w:r>
              <w:rPr>
                <w:rFonts w:ascii="Times New Roman" w:hAnsi="Times New Roman"/>
                <w:sz w:val="20"/>
              </w:rPr>
              <w:t>Switzerland</w:t>
            </w:r>
          </w:p>
        </w:tc>
        <w:tc>
          <w:tcPr>
            <w:tcW w:type="dxa" w:w="1881"/>
          </w:tcPr>
          <w:p>
            <w:r>
              <w:rPr>
                <w:rFonts w:ascii="Times New Roman" w:hAnsi="Times New Roman"/>
                <w:sz w:val="20"/>
              </w:rPr>
              <w:t>0.258</w:t>
            </w:r>
          </w:p>
        </w:tc>
        <w:tc>
          <w:tcPr>
            <w:tcW w:type="dxa" w:w="1881"/>
          </w:tcPr>
          <w:p>
            <w:r>
              <w:rPr>
                <w:rFonts w:ascii="Times New Roman" w:hAnsi="Times New Roman"/>
                <w:sz w:val="20"/>
              </w:rPr>
              <w:t>0.577</w:t>
            </w:r>
          </w:p>
        </w:tc>
        <w:tc>
          <w:tcPr>
            <w:tcW w:type="dxa" w:w="1881"/>
          </w:tcPr>
          <w:p>
            <w:r>
              <w:rPr>
                <w:rFonts w:ascii="Times New Roman" w:hAnsi="Times New Roman"/>
                <w:sz w:val="20"/>
              </w:rPr>
              <w:t>0.914</w:t>
            </w:r>
          </w:p>
        </w:tc>
        <w:tc>
          <w:tcPr>
            <w:tcW w:type="dxa" w:w="1881"/>
          </w:tcPr>
          <w:p>
            <w:r>
              <w:rPr>
                <w:rFonts w:ascii="Times New Roman" w:hAnsi="Times New Roman"/>
                <w:sz w:val="20"/>
              </w:rPr>
              <w:t>0.004</w:t>
            </w:r>
          </w:p>
        </w:tc>
      </w:tr>
      <w:tr>
        <w:tc>
          <w:tcPr>
            <w:tcW w:type="dxa" w:w="1881"/>
          </w:tcPr>
          <w:p>
            <w:r>
              <w:rPr>
                <w:rFonts w:ascii="Times New Roman" w:hAnsi="Times New Roman"/>
                <w:sz w:val="20"/>
              </w:rPr>
              <w:t>Poland</w:t>
            </w:r>
          </w:p>
        </w:tc>
        <w:tc>
          <w:tcPr>
            <w:tcW w:type="dxa" w:w="1881"/>
          </w:tcPr>
          <w:p>
            <w:r>
              <w:rPr>
                <w:rFonts w:ascii="Times New Roman" w:hAnsi="Times New Roman"/>
                <w:sz w:val="20"/>
              </w:rPr>
              <w:t>0.154</w:t>
            </w:r>
          </w:p>
        </w:tc>
        <w:tc>
          <w:tcPr>
            <w:tcW w:type="dxa" w:w="1881"/>
          </w:tcPr>
          <w:p>
            <w:r>
              <w:rPr>
                <w:rFonts w:ascii="Times New Roman" w:hAnsi="Times New Roman"/>
                <w:sz w:val="20"/>
              </w:rPr>
              <w:t>0.742</w:t>
            </w:r>
          </w:p>
        </w:tc>
        <w:tc>
          <w:tcPr>
            <w:tcW w:type="dxa" w:w="1881"/>
          </w:tcPr>
          <w:p>
            <w:r>
              <w:rPr>
                <w:rFonts w:ascii="Times New Roman" w:hAnsi="Times New Roman"/>
                <w:sz w:val="20"/>
              </w:rPr>
              <w:t>0.860</w:t>
            </w:r>
          </w:p>
        </w:tc>
        <w:tc>
          <w:tcPr>
            <w:tcW w:type="dxa" w:w="1881"/>
          </w:tcPr>
          <w:p>
            <w:r>
              <w:rPr>
                <w:rFonts w:ascii="Times New Roman" w:hAnsi="Times New Roman"/>
                <w:sz w:val="20"/>
              </w:rPr>
              <w:t>0.013</w:t>
            </w:r>
          </w:p>
        </w:tc>
      </w:tr>
      <w:tr>
        <w:tc>
          <w:tcPr>
            <w:tcW w:type="dxa" w:w="1881"/>
          </w:tcPr>
          <w:p>
            <w:r>
              <w:rPr>
                <w:rFonts w:ascii="Times New Roman" w:hAnsi="Times New Roman"/>
                <w:sz w:val="20"/>
              </w:rPr>
              <w:t>Netherlands</w:t>
            </w:r>
          </w:p>
        </w:tc>
        <w:tc>
          <w:tcPr>
            <w:tcW w:type="dxa" w:w="1881"/>
          </w:tcPr>
          <w:p>
            <w:r>
              <w:rPr>
                <w:rFonts w:ascii="Times New Roman" w:hAnsi="Times New Roman"/>
                <w:sz w:val="20"/>
              </w:rPr>
              <w:t>0.526</w:t>
            </w:r>
          </w:p>
        </w:tc>
        <w:tc>
          <w:tcPr>
            <w:tcW w:type="dxa" w:w="1881"/>
          </w:tcPr>
          <w:p>
            <w:r>
              <w:rPr>
                <w:rFonts w:ascii="Times New Roman" w:hAnsi="Times New Roman"/>
                <w:sz w:val="20"/>
              </w:rPr>
              <w:t>0.225</w:t>
            </w:r>
          </w:p>
        </w:tc>
        <w:tc>
          <w:tcPr>
            <w:tcW w:type="dxa" w:w="1881"/>
          </w:tcPr>
          <w:p>
            <w:r>
              <w:rPr>
                <w:rFonts w:ascii="Times New Roman" w:hAnsi="Times New Roman"/>
                <w:sz w:val="20"/>
              </w:rPr>
              <w:t>0.903</w:t>
            </w:r>
          </w:p>
        </w:tc>
        <w:tc>
          <w:tcPr>
            <w:tcW w:type="dxa" w:w="1881"/>
          </w:tcPr>
          <w:p>
            <w:r>
              <w:rPr>
                <w:rFonts w:ascii="Times New Roman" w:hAnsi="Times New Roman"/>
                <w:sz w:val="20"/>
              </w:rPr>
              <w:t>0.005</w:t>
            </w:r>
          </w:p>
        </w:tc>
      </w:tr>
      <w:tr>
        <w:tc>
          <w:tcPr>
            <w:tcW w:type="dxa" w:w="1881"/>
          </w:tcPr>
          <w:p>
            <w:r>
              <w:rPr>
                <w:rFonts w:ascii="Times New Roman" w:hAnsi="Times New Roman"/>
                <w:sz w:val="20"/>
              </w:rPr>
              <w:t>Sweden</w:t>
            </w:r>
          </w:p>
        </w:tc>
        <w:tc>
          <w:tcPr>
            <w:tcW w:type="dxa" w:w="1881"/>
          </w:tcPr>
          <w:p>
            <w:r>
              <w:rPr>
                <w:rFonts w:ascii="Times New Roman" w:hAnsi="Times New Roman"/>
                <w:sz w:val="20"/>
              </w:rPr>
              <w:t>0.205</w:t>
            </w:r>
          </w:p>
        </w:tc>
        <w:tc>
          <w:tcPr>
            <w:tcW w:type="dxa" w:w="1881"/>
          </w:tcPr>
          <w:p>
            <w:r>
              <w:rPr>
                <w:rFonts w:ascii="Times New Roman" w:hAnsi="Times New Roman"/>
                <w:sz w:val="20"/>
              </w:rPr>
              <w:t>0.659</w:t>
            </w:r>
          </w:p>
        </w:tc>
        <w:tc>
          <w:tcPr>
            <w:tcW w:type="dxa" w:w="1881"/>
          </w:tcPr>
          <w:p>
            <w:r>
              <w:rPr>
                <w:rFonts w:ascii="Times New Roman" w:hAnsi="Times New Roman"/>
                <w:sz w:val="20"/>
              </w:rPr>
              <w:t>0.843</w:t>
            </w:r>
          </w:p>
        </w:tc>
        <w:tc>
          <w:tcPr>
            <w:tcW w:type="dxa" w:w="1881"/>
          </w:tcPr>
          <w:p>
            <w:r>
              <w:rPr>
                <w:rFonts w:ascii="Times New Roman" w:hAnsi="Times New Roman"/>
                <w:sz w:val="20"/>
              </w:rPr>
              <w:t>0.017</w:t>
            </w:r>
          </w:p>
        </w:tc>
      </w:tr>
      <w:tr>
        <w:tc>
          <w:tcPr>
            <w:tcW w:type="dxa" w:w="1881"/>
          </w:tcPr>
          <w:p>
            <w:r>
              <w:rPr>
                <w:rFonts w:ascii="Times New Roman" w:hAnsi="Times New Roman"/>
                <w:sz w:val="20"/>
              </w:rPr>
              <w:t>Australia</w:t>
            </w:r>
          </w:p>
        </w:tc>
        <w:tc>
          <w:tcPr>
            <w:tcW w:type="dxa" w:w="1881"/>
          </w:tcPr>
          <w:p>
            <w:r>
              <w:rPr>
                <w:rFonts w:ascii="Times New Roman" w:hAnsi="Times New Roman"/>
                <w:sz w:val="20"/>
              </w:rPr>
              <w:t>0.272</w:t>
            </w:r>
          </w:p>
        </w:tc>
        <w:tc>
          <w:tcPr>
            <w:tcW w:type="dxa" w:w="1881"/>
          </w:tcPr>
          <w:p>
            <w:r>
              <w:rPr>
                <w:rFonts w:ascii="Times New Roman" w:hAnsi="Times New Roman"/>
                <w:sz w:val="20"/>
              </w:rPr>
              <w:t>0.555</w:t>
            </w:r>
          </w:p>
        </w:tc>
        <w:tc>
          <w:tcPr>
            <w:tcW w:type="dxa" w:w="1881"/>
          </w:tcPr>
          <w:p>
            <w:r>
              <w:rPr>
                <w:rFonts w:ascii="Times New Roman" w:hAnsi="Times New Roman"/>
                <w:sz w:val="20"/>
              </w:rPr>
              <w:t>0.875</w:t>
            </w:r>
          </w:p>
        </w:tc>
        <w:tc>
          <w:tcPr>
            <w:tcW w:type="dxa" w:w="1881"/>
          </w:tcPr>
          <w:p>
            <w:r>
              <w:rPr>
                <w:rFonts w:ascii="Times New Roman" w:hAnsi="Times New Roman"/>
                <w:sz w:val="20"/>
              </w:rPr>
              <w:t>0.010</w:t>
            </w:r>
          </w:p>
        </w:tc>
      </w:tr>
      <w:tr>
        <w:tc>
          <w:tcPr>
            <w:tcW w:type="dxa" w:w="1881"/>
          </w:tcPr>
          <w:p>
            <w:r>
              <w:rPr>
                <w:rFonts w:ascii="Times New Roman" w:hAnsi="Times New Roman"/>
                <w:sz w:val="20"/>
              </w:rPr>
              <w:t>Argentina</w:t>
            </w:r>
          </w:p>
        </w:tc>
        <w:tc>
          <w:tcPr>
            <w:tcW w:type="dxa" w:w="1881"/>
          </w:tcPr>
          <w:p>
            <w:r>
              <w:rPr>
                <w:rFonts w:ascii="Times New Roman" w:hAnsi="Times New Roman"/>
                <w:sz w:val="20"/>
              </w:rPr>
              <w:t>0.299</w:t>
            </w:r>
          </w:p>
        </w:tc>
        <w:tc>
          <w:tcPr>
            <w:tcW w:type="dxa" w:w="1881"/>
          </w:tcPr>
          <w:p>
            <w:r>
              <w:rPr>
                <w:rFonts w:ascii="Times New Roman" w:hAnsi="Times New Roman"/>
                <w:sz w:val="20"/>
              </w:rPr>
              <w:t>0.515</w:t>
            </w:r>
          </w:p>
        </w:tc>
        <w:tc>
          <w:tcPr>
            <w:tcW w:type="dxa" w:w="1881"/>
          </w:tcPr>
          <w:p>
            <w:r>
              <w:rPr>
                <w:rFonts w:ascii="Times New Roman" w:hAnsi="Times New Roman"/>
                <w:sz w:val="20"/>
              </w:rPr>
              <w:t>0.898</w:t>
            </w:r>
          </w:p>
        </w:tc>
        <w:tc>
          <w:tcPr>
            <w:tcW w:type="dxa" w:w="1881"/>
          </w:tcPr>
          <w:p>
            <w:r>
              <w:rPr>
                <w:rFonts w:ascii="Times New Roman" w:hAnsi="Times New Roman"/>
                <w:sz w:val="20"/>
              </w:rPr>
              <w:t>0.006</w:t>
            </w:r>
          </w:p>
        </w:tc>
      </w:tr>
      <w:tr>
        <w:tc>
          <w:tcPr>
            <w:tcW w:type="dxa" w:w="1881"/>
          </w:tcPr>
          <w:p>
            <w:r>
              <w:rPr>
                <w:rFonts w:ascii="Times New Roman" w:hAnsi="Times New Roman"/>
                <w:sz w:val="20"/>
              </w:rPr>
              <w:t>Full (n=8)</w:t>
            </w:r>
          </w:p>
        </w:tc>
        <w:tc>
          <w:tcPr>
            <w:tcW w:type="dxa" w:w="1881"/>
          </w:tcPr>
          <w:p>
            <w:r>
              <w:rPr>
                <w:rFonts w:ascii="Times New Roman" w:hAnsi="Times New Roman"/>
                <w:sz w:val="20"/>
              </w:rPr>
              <w:t>0.265</w:t>
            </w:r>
          </w:p>
        </w:tc>
        <w:tc>
          <w:tcPr>
            <w:tcW w:type="dxa" w:w="1881"/>
          </w:tcPr>
          <w:p>
            <w:r>
              <w:rPr>
                <w:rFonts w:ascii="Times New Roman" w:hAnsi="Times New Roman"/>
                <w:sz w:val="20"/>
              </w:rPr>
              <w:t>0.526</w:t>
            </w:r>
          </w:p>
        </w:tc>
        <w:tc>
          <w:tcPr>
            <w:tcW w:type="dxa" w:w="1881"/>
          </w:tcPr>
          <w:p>
            <w:r>
              <w:rPr>
                <w:rFonts w:ascii="Times New Roman" w:hAnsi="Times New Roman"/>
                <w:sz w:val="20"/>
              </w:rPr>
              <w:t>0.896</w:t>
            </w:r>
          </w:p>
        </w:tc>
        <w:tc>
          <w:tcPr>
            <w:tcW w:type="dxa" w:w="1881"/>
          </w:tcPr>
          <w:p>
            <w:r>
              <w:rPr>
                <w:rFonts w:ascii="Times New Roman" w:hAnsi="Times New Roman"/>
                <w:sz w:val="20"/>
              </w:rPr>
              <w:t>0.003</w:t>
            </w:r>
          </w:p>
        </w:tc>
      </w:tr>
    </w:tbl>
    <w:p>
      <w:pPr>
        <w:spacing w:line="480" w:lineRule="auto"/>
      </w:pPr>
      <w:r>
        <w:rPr>
          <w:rFonts w:ascii="Times New Roman" w:hAnsi="Times New Roman"/>
          <w:b w:val="0"/>
          <w:i/>
          <w:sz w:val="24"/>
        </w:rPr>
        <w:t>Table 5. Leave-one-out sensitivity analysis for ICR_pca vs 14-day mortality.</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Regression-based ICR_pca correlation remained strong (r = 0.84-0.95, all p &lt; 0.02) regardless of which country was excluded.</w:t>
      </w:r>
    </w:p>
    <w:p>
      <w:pPr>
        <w:spacing w:line="480" w:lineRule="auto"/>
      </w:pPr>
      <w:r>
        <w:rPr>
          <w:rFonts w:ascii="Times New Roman" w:hAnsi="Times New Roman"/>
          <w:b w:val="0"/>
          <w:i w:val="0"/>
          <w:sz w:val="24"/>
        </w:rPr>
      </w:r>
    </w:p>
    <w:p>
      <w:r>
        <w:drawing>
          <wp:inline xmlns:a="http://schemas.openxmlformats.org/drawingml/2006/main" xmlns:pic="http://schemas.openxmlformats.org/drawingml/2006/picture">
            <wp:extent cx="5029200" cy="2142960"/>
            <wp:docPr id="6" name="Picture 6"/>
            <wp:cNvGraphicFramePr>
              <a:graphicFrameLocks noChangeAspect="1"/>
            </wp:cNvGraphicFramePr>
            <a:graphic>
              <a:graphicData uri="http://schemas.openxmlformats.org/drawingml/2006/picture">
                <pic:pic>
                  <pic:nvPicPr>
                    <pic:cNvPr id="0" name="fig_loo_sensitivity.png"/>
                    <pic:cNvPicPr/>
                  </pic:nvPicPr>
                  <pic:blipFill>
                    <a:blip r:embed="rId14"/>
                    <a:stretch>
                      <a:fillRect/>
                    </a:stretch>
                  </pic:blipFill>
                  <pic:spPr>
                    <a:xfrm>
                      <a:off x="0" y="0"/>
                      <a:ext cx="5029200" cy="2142960"/>
                    </a:xfrm>
                    <a:prstGeom prst="rect"/>
                  </pic:spPr>
                </pic:pic>
              </a:graphicData>
            </a:graphic>
          </wp:inline>
        </w:drawing>
      </w:r>
    </w:p>
    <w:p>
      <w:pPr>
        <w:spacing w:line="480" w:lineRule="auto"/>
      </w:pPr>
      <w:r>
        <w:rPr>
          <w:rFonts w:ascii="Times New Roman" w:hAnsi="Times New Roman"/>
          <w:b w:val="0"/>
          <w:i/>
          <w:sz w:val="24"/>
        </w:rPr>
        <w:t>Figure 6. Leave-one-out sensitivity analysis.</w:t>
      </w:r>
    </w:p>
    <w:p>
      <w:pPr>
        <w:pStyle w:val="Heading2"/>
      </w:pPr>
      <w:r>
        <w:rPr>
          <w:rFonts w:ascii="Times New Roman" w:hAnsi="Times New Roman"/>
          <w:color w:val="000000"/>
        </w:rPr>
        <w:t>LINKO Prism Forest Plot</w:t>
      </w:r>
    </w:p>
    <w:p>
      <w:pPr>
        <w:spacing w:line="480" w:lineRule="auto"/>
      </w:pPr>
      <w:r>
        <w:rPr>
          <w:rFonts w:ascii="Times New Roman" w:hAnsi="Times New Roman"/>
          <w:b w:val="0"/>
          <w:i w:val="0"/>
          <w:sz w:val="24"/>
        </w:rPr>
        <w:t>The Prism Forest Plot revealed clear visual differences between meta-analyses with low vs. high ICRD:</w:t>
      </w:r>
    </w:p>
    <w:p>
      <w:pPr>
        <w:spacing w:line="480" w:lineRule="auto"/>
      </w:pPr>
      <w:r>
        <w:rPr>
          <w:rFonts w:ascii="Times New Roman" w:hAnsi="Times New Roman"/>
          <w:b w:val="0"/>
          <w:i w:val="0"/>
          <w:sz w:val="24"/>
        </w:rPr>
      </w:r>
    </w:p>
    <w:p>
      <w:r>
        <w:drawing>
          <wp:inline xmlns:a="http://schemas.openxmlformats.org/drawingml/2006/main" xmlns:pic="http://schemas.openxmlformats.org/drawingml/2006/picture">
            <wp:extent cx="5029200" cy="2120900"/>
            <wp:docPr id="7" name="Picture 7"/>
            <wp:cNvGraphicFramePr>
              <a:graphicFrameLocks noChangeAspect="1"/>
            </wp:cNvGraphicFramePr>
            <a:graphic>
              <a:graphicData uri="http://schemas.openxmlformats.org/drawingml/2006/picture">
                <pic:pic>
                  <pic:nvPicPr>
                    <pic:cNvPr id="0" name="fig_linko_prism_statin.png"/>
                    <pic:cNvPicPr/>
                  </pic:nvPicPr>
                  <pic:blipFill>
                    <a:blip r:embed="rId15"/>
                    <a:stretch>
                      <a:fillRect/>
                    </a:stretch>
                  </pic:blipFill>
                  <pic:spPr>
                    <a:xfrm>
                      <a:off x="0" y="0"/>
                      <a:ext cx="5029200" cy="2120900"/>
                    </a:xfrm>
                    <a:prstGeom prst="rect"/>
                  </pic:spPr>
                </pic:pic>
              </a:graphicData>
            </a:graphic>
          </wp:inline>
        </w:drawing>
      </w:r>
    </w:p>
    <w:p>
      <w:pPr>
        <w:spacing w:line="480" w:lineRule="auto"/>
      </w:pPr>
      <w:r>
        <w:rPr>
          <w:rFonts w:ascii="Times New Roman" w:hAnsi="Times New Roman"/>
          <w:b w:val="0"/>
          <w:i/>
          <w:sz w:val="24"/>
        </w:rPr>
        <w:t>Figure 7. LINKO Prism Forest Plot: Statin therapy (low ICRD = 0.009). Note uniform coloring across studies.</w:t>
      </w:r>
    </w:p>
    <w:p>
      <w:r>
        <w:drawing>
          <wp:inline xmlns:a="http://schemas.openxmlformats.org/drawingml/2006/main" xmlns:pic="http://schemas.openxmlformats.org/drawingml/2006/picture">
            <wp:extent cx="5029200" cy="2122431"/>
            <wp:docPr id="8" name="Picture 8"/>
            <wp:cNvGraphicFramePr>
              <a:graphicFrameLocks noChangeAspect="1"/>
            </wp:cNvGraphicFramePr>
            <a:graphic>
              <a:graphicData uri="http://schemas.openxmlformats.org/drawingml/2006/picture">
                <pic:pic>
                  <pic:nvPicPr>
                    <pic:cNvPr id="0" name="fig_linko_prism_glucose.png"/>
                    <pic:cNvPicPr/>
                  </pic:nvPicPr>
                  <pic:blipFill>
                    <a:blip r:embed="rId16"/>
                    <a:stretch>
                      <a:fillRect/>
                    </a:stretch>
                  </pic:blipFill>
                  <pic:spPr>
                    <a:xfrm>
                      <a:off x="0" y="0"/>
                      <a:ext cx="5029200" cy="2122431"/>
                    </a:xfrm>
                    <a:prstGeom prst="rect"/>
                  </pic:spPr>
                </pic:pic>
              </a:graphicData>
            </a:graphic>
          </wp:inline>
        </w:drawing>
      </w:r>
    </w:p>
    <w:p>
      <w:pPr>
        <w:spacing w:line="480" w:lineRule="auto"/>
      </w:pPr>
      <w:r>
        <w:rPr>
          <w:rFonts w:ascii="Times New Roman" w:hAnsi="Times New Roman"/>
          <w:b w:val="0"/>
          <w:i/>
          <w:sz w:val="24"/>
        </w:rPr>
        <w:t>Figure 8. LINKO Prism Forest Plot: Glucose control (high ICRD = 0.048). Note color gradient reflecting ICR variation.</w:t>
      </w:r>
    </w:p>
    <w:p>
      <w:r>
        <w:drawing>
          <wp:inline xmlns:a="http://schemas.openxmlformats.org/drawingml/2006/main" xmlns:pic="http://schemas.openxmlformats.org/drawingml/2006/picture">
            <wp:extent cx="5029200" cy="2697711"/>
            <wp:docPr id="9" name="Picture 9"/>
            <wp:cNvGraphicFramePr>
              <a:graphicFrameLocks noChangeAspect="1"/>
            </wp:cNvGraphicFramePr>
            <a:graphic>
              <a:graphicData uri="http://schemas.openxmlformats.org/drawingml/2006/picture">
                <pic:pic>
                  <pic:nvPicPr>
                    <pic:cNvPr id="0" name="fig_linko_prism_ist.png"/>
                    <pic:cNvPicPr/>
                  </pic:nvPicPr>
                  <pic:blipFill>
                    <a:blip r:embed="rId17"/>
                    <a:stretch>
                      <a:fillRect/>
                    </a:stretch>
                  </pic:blipFill>
                  <pic:spPr>
                    <a:xfrm>
                      <a:off x="0" y="0"/>
                      <a:ext cx="5029200" cy="2697711"/>
                    </a:xfrm>
                    <a:prstGeom prst="rect"/>
                  </pic:spPr>
                </pic:pic>
              </a:graphicData>
            </a:graphic>
          </wp:inline>
        </w:drawing>
      </w:r>
    </w:p>
    <w:p>
      <w:pPr>
        <w:spacing w:line="480" w:lineRule="auto"/>
      </w:pPr>
      <w:r>
        <w:rPr>
          <w:rFonts w:ascii="Times New Roman" w:hAnsi="Times New Roman"/>
          <w:b w:val="0"/>
          <w:i/>
          <w:sz w:val="24"/>
        </w:rPr>
        <w:t>Figure 9. LINKO Prism Forest Plot: IST country sub-studies (color = ICR_pca loading, size = ICR_pca regression).</w:t>
      </w:r>
    </w:p>
    <w:p>
      <w:pPr>
        <w:pStyle w:val="Heading2"/>
      </w:pPr>
      <w:r>
        <w:rPr>
          <w:rFonts w:ascii="Times New Roman" w:hAnsi="Times New Roman"/>
          <w:color w:val="000000"/>
        </w:rPr>
        <w:t>Early convergence analysis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t>Strategy</w:t>
            </w:r>
          </w:p>
        </w:tc>
        <w:tc>
          <w:tcPr>
            <w:tcW w:type="dxa" w:w="1568"/>
          </w:tcPr>
          <w:p>
            <w:r>
              <w:rPr>
                <w:rFonts w:ascii="Times New Roman" w:hAnsi="Times New Roman"/>
                <w:b/>
                <w:sz w:val="20"/>
              </w:rPr>
              <w:t>Mean studies to conclusion</w:t>
            </w:r>
          </w:p>
        </w:tc>
        <w:tc>
          <w:tcPr>
            <w:tcW w:type="dxa" w:w="1568"/>
          </w:tcPr>
          <w:p>
            <w:r>
              <w:rPr>
                <w:rFonts w:ascii="Times New Roman" w:hAnsi="Times New Roman"/>
                <w:b/>
                <w:sz w:val="20"/>
              </w:rPr>
              <w:t>Median</w:t>
            </w:r>
          </w:p>
        </w:tc>
        <w:tc>
          <w:tcPr>
            <w:tcW w:type="dxa" w:w="1568"/>
          </w:tcPr>
          <w:p>
            <w:r>
              <w:rPr>
                <w:rFonts w:ascii="Times New Roman" w:hAnsi="Times New Roman"/>
                <w:b/>
                <w:sz w:val="20"/>
              </w:rPr>
              <w:t>% conclusive by 5</w:t>
            </w:r>
          </w:p>
        </w:tc>
        <w:tc>
          <w:tcPr>
            <w:tcW w:type="dxa" w:w="1568"/>
          </w:tcPr>
          <w:p>
            <w:r>
              <w:rPr>
                <w:rFonts w:ascii="Times New Roman" w:hAnsi="Times New Roman"/>
                <w:b/>
                <w:sz w:val="20"/>
              </w:rPr>
              <w:t>% conclusive by 10</w:t>
            </w:r>
          </w:p>
        </w:tc>
        <w:tc>
          <w:tcPr>
            <w:tcW w:type="dxa" w:w="1568"/>
          </w:tcPr>
          <w:p>
            <w:r>
              <w:rPr>
                <w:rFonts w:ascii="Times New Roman" w:hAnsi="Times New Roman"/>
                <w:b/>
                <w:sz w:val="20"/>
              </w:rPr>
              <w:t>Mean studies to I-sq&lt;25%</w:t>
            </w:r>
          </w:p>
        </w:tc>
      </w:tr>
      <w:tr>
        <w:tc>
          <w:tcPr>
            <w:tcW w:type="dxa" w:w="1568"/>
          </w:tcPr>
          <w:p>
            <w:r>
              <w:rPr>
                <w:rFonts w:ascii="Times New Roman" w:hAnsi="Times New Roman"/>
                <w:sz w:val="20"/>
              </w:rPr>
              <w:t>Random</w:t>
            </w:r>
          </w:p>
        </w:tc>
        <w:tc>
          <w:tcPr>
            <w:tcW w:type="dxa" w:w="1568"/>
          </w:tcPr>
          <w:p>
            <w:r>
              <w:rPr>
                <w:rFonts w:ascii="Times New Roman" w:hAnsi="Times New Roman"/>
                <w:sz w:val="20"/>
              </w:rPr>
              <w:t>3.94</w:t>
            </w:r>
          </w:p>
        </w:tc>
        <w:tc>
          <w:tcPr>
            <w:tcW w:type="dxa" w:w="1568"/>
          </w:tcPr>
          <w:p>
            <w:r>
              <w:rPr>
                <w:rFonts w:ascii="Times New Roman" w:hAnsi="Times New Roman"/>
                <w:sz w:val="20"/>
              </w:rPr>
              <w:t>3.0</w:t>
            </w:r>
          </w:p>
        </w:tc>
        <w:tc>
          <w:tcPr>
            <w:tcW w:type="dxa" w:w="1568"/>
          </w:tcPr>
          <w:p>
            <w:r>
              <w:rPr>
                <w:rFonts w:ascii="Times New Roman" w:hAnsi="Times New Roman"/>
                <w:sz w:val="20"/>
              </w:rPr>
              <w:t>81.4%</w:t>
            </w:r>
          </w:p>
        </w:tc>
        <w:tc>
          <w:tcPr>
            <w:tcW w:type="dxa" w:w="1568"/>
          </w:tcPr>
          <w:p>
            <w:r>
              <w:rPr>
                <w:rFonts w:ascii="Times New Roman" w:hAnsi="Times New Roman"/>
                <w:sz w:val="20"/>
              </w:rPr>
              <w:t>97.2%</w:t>
            </w:r>
          </w:p>
        </w:tc>
        <w:tc>
          <w:tcPr>
            <w:tcW w:type="dxa" w:w="1568"/>
          </w:tcPr>
          <w:p>
            <w:r>
              <w:rPr>
                <w:rFonts w:ascii="Times New Roman" w:hAnsi="Times New Roman"/>
                <w:sz w:val="20"/>
              </w:rPr>
              <w:t>3.19</w:t>
            </w:r>
          </w:p>
        </w:tc>
      </w:tr>
      <w:tr>
        <w:tc>
          <w:tcPr>
            <w:tcW w:type="dxa" w:w="1568"/>
          </w:tcPr>
          <w:p>
            <w:r>
              <w:rPr>
                <w:rFonts w:ascii="Times New Roman" w:hAnsi="Times New Roman"/>
                <w:sz w:val="20"/>
              </w:rPr>
              <w:t>ICR-matched</w:t>
            </w:r>
          </w:p>
        </w:tc>
        <w:tc>
          <w:tcPr>
            <w:tcW w:type="dxa" w:w="1568"/>
          </w:tcPr>
          <w:p>
            <w:r>
              <w:rPr>
                <w:rFonts w:ascii="Times New Roman" w:hAnsi="Times New Roman"/>
                <w:sz w:val="20"/>
              </w:rPr>
              <w:t>3.91</w:t>
            </w:r>
          </w:p>
        </w:tc>
        <w:tc>
          <w:tcPr>
            <w:tcW w:type="dxa" w:w="1568"/>
          </w:tcPr>
          <w:p>
            <w:r>
              <w:rPr>
                <w:rFonts w:ascii="Times New Roman" w:hAnsi="Times New Roman"/>
                <w:sz w:val="20"/>
              </w:rPr>
              <w:t>3.0</w:t>
            </w:r>
          </w:p>
        </w:tc>
        <w:tc>
          <w:tcPr>
            <w:tcW w:type="dxa" w:w="1568"/>
          </w:tcPr>
          <w:p>
            <w:r>
              <w:rPr>
                <w:rFonts w:ascii="Times New Roman" w:hAnsi="Times New Roman"/>
                <w:sz w:val="20"/>
              </w:rPr>
              <w:t>78.0%</w:t>
            </w:r>
          </w:p>
        </w:tc>
        <w:tc>
          <w:tcPr>
            <w:tcW w:type="dxa" w:w="1568"/>
          </w:tcPr>
          <w:p>
            <w:r>
              <w:rPr>
                <w:rFonts w:ascii="Times New Roman" w:hAnsi="Times New Roman"/>
                <w:sz w:val="20"/>
              </w:rPr>
              <w:t>97.6%</w:t>
            </w:r>
          </w:p>
        </w:tc>
        <w:tc>
          <w:tcPr>
            <w:tcW w:type="dxa" w:w="1568"/>
          </w:tcPr>
          <w:p>
            <w:r>
              <w:rPr>
                <w:rFonts w:ascii="Times New Roman" w:hAnsi="Times New Roman"/>
                <w:sz w:val="20"/>
              </w:rPr>
              <w:t>3.20</w:t>
            </w:r>
          </w:p>
        </w:tc>
      </w:tr>
      <w:tr>
        <w:tc>
          <w:tcPr>
            <w:tcW w:type="dxa" w:w="1568"/>
          </w:tcPr>
          <w:p>
            <w:r>
              <w:rPr>
                <w:rFonts w:ascii="Times New Roman" w:hAnsi="Times New Roman"/>
                <w:sz w:val="20"/>
              </w:rPr>
              <w:t>LINKO optimized</w:t>
            </w:r>
          </w:p>
        </w:tc>
        <w:tc>
          <w:tcPr>
            <w:tcW w:type="dxa" w:w="1568"/>
          </w:tcPr>
          <w:p>
            <w:r>
              <w:rPr>
                <w:rFonts w:ascii="Times New Roman" w:hAnsi="Times New Roman"/>
                <w:sz w:val="20"/>
              </w:rPr>
              <w:t>4.00</w:t>
            </w:r>
          </w:p>
        </w:tc>
        <w:tc>
          <w:tcPr>
            <w:tcW w:type="dxa" w:w="1568"/>
          </w:tcPr>
          <w:p>
            <w:r>
              <w:rPr>
                <w:rFonts w:ascii="Times New Roman" w:hAnsi="Times New Roman"/>
                <w:sz w:val="20"/>
              </w:rPr>
              <w:t>3.0</w:t>
            </w:r>
          </w:p>
        </w:tc>
        <w:tc>
          <w:tcPr>
            <w:tcW w:type="dxa" w:w="1568"/>
          </w:tcPr>
          <w:p>
            <w:r>
              <w:rPr>
                <w:rFonts w:ascii="Times New Roman" w:hAnsi="Times New Roman"/>
                <w:sz w:val="20"/>
              </w:rPr>
              <w:t>77.6%</w:t>
            </w:r>
          </w:p>
        </w:tc>
        <w:tc>
          <w:tcPr>
            <w:tcW w:type="dxa" w:w="1568"/>
          </w:tcPr>
          <w:p>
            <w:r>
              <w:rPr>
                <w:rFonts w:ascii="Times New Roman" w:hAnsi="Times New Roman"/>
                <w:sz w:val="20"/>
              </w:rPr>
              <w:t>97.6%</w:t>
            </w:r>
          </w:p>
        </w:tc>
        <w:tc>
          <w:tcPr>
            <w:tcW w:type="dxa" w:w="1568"/>
          </w:tcPr>
          <w:p>
            <w:r>
              <w:rPr>
                <w:rFonts w:ascii="Times New Roman" w:hAnsi="Times New Roman"/>
                <w:sz w:val="20"/>
              </w:rPr>
              <w:t>3.14</w:t>
            </w:r>
          </w:p>
        </w:tc>
      </w:tr>
    </w:tbl>
    <w:p>
      <w:pPr>
        <w:spacing w:line="480" w:lineRule="auto"/>
      </w:pPr>
      <w:r>
        <w:rPr>
          <w:rFonts w:ascii="Times New Roman" w:hAnsi="Times New Roman"/>
          <w:b w:val="0"/>
          <w:i/>
          <w:sz w:val="24"/>
        </w:rPr>
        <w:t>Table 7. Early convergence simulation results (500 iterations).</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LINKO-optimized strategy achieved the lowest mean studies for I-squared &lt; 25% (3.14 vs 3.19-3.20), suggesting ICR-guided selection may improve homogeneity of early evidence synthesis.</w:t>
      </w:r>
    </w:p>
    <w:p>
      <w:pPr>
        <w:spacing w:line="480" w:lineRule="auto"/>
      </w:pPr>
      <w:r>
        <w:rPr>
          <w:rFonts w:ascii="Times New Roman" w:hAnsi="Times New Roman"/>
          <w:b w:val="0"/>
          <w:i w:val="0"/>
          <w:sz w:val="24"/>
        </w:rPr>
      </w:r>
    </w:p>
    <w:p>
      <w:r>
        <w:drawing>
          <wp:inline xmlns:a="http://schemas.openxmlformats.org/drawingml/2006/main" xmlns:pic="http://schemas.openxmlformats.org/drawingml/2006/picture">
            <wp:extent cx="5029200" cy="1732608"/>
            <wp:docPr id="10" name="Picture 10"/>
            <wp:cNvGraphicFramePr>
              <a:graphicFrameLocks noChangeAspect="1"/>
            </wp:cNvGraphicFramePr>
            <a:graphic>
              <a:graphicData uri="http://schemas.openxmlformats.org/drawingml/2006/picture">
                <pic:pic>
                  <pic:nvPicPr>
                    <pic:cNvPr id="0" name="fig_linko_early_convergence.png"/>
                    <pic:cNvPicPr/>
                  </pic:nvPicPr>
                  <pic:blipFill>
                    <a:blip r:embed="rId18"/>
                    <a:stretch>
                      <a:fillRect/>
                    </a:stretch>
                  </pic:blipFill>
                  <pic:spPr>
                    <a:xfrm>
                      <a:off x="0" y="0"/>
                      <a:ext cx="5029200" cy="1732608"/>
                    </a:xfrm>
                    <a:prstGeom prst="rect"/>
                  </pic:spPr>
                </pic:pic>
              </a:graphicData>
            </a:graphic>
          </wp:inline>
        </w:drawing>
      </w:r>
    </w:p>
    <w:p>
      <w:pPr>
        <w:spacing w:line="480" w:lineRule="auto"/>
      </w:pPr>
      <w:r>
        <w:rPr>
          <w:rFonts w:ascii="Times New Roman" w:hAnsi="Times New Roman"/>
          <w:b w:val="0"/>
          <w:i/>
          <w:sz w:val="24"/>
        </w:rPr>
        <w:t>Figure 10. LINKO early convergence analysis.</w:t>
      </w:r>
    </w:p>
    <w:p>
      <w:pPr>
        <w:pStyle w:val="Heading2"/>
      </w:pPr>
      <w:r>
        <w:rPr>
          <w:rFonts w:ascii="Times New Roman" w:hAnsi="Times New Roman"/>
          <w:color w:val="000000"/>
        </w:rPr>
        <w:t>Comparison of ICR approaches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Analysis</w:t>
            </w:r>
          </w:p>
        </w:tc>
        <w:tc>
          <w:tcPr>
            <w:tcW w:type="dxa" w:w="2351"/>
          </w:tcPr>
          <w:p>
            <w:r>
              <w:rPr>
                <w:rFonts w:ascii="Times New Roman" w:hAnsi="Times New Roman"/>
                <w:b/>
                <w:sz w:val="20"/>
              </w:rPr>
              <w:t>ICR Measure</w:t>
            </w:r>
          </w:p>
        </w:tc>
        <w:tc>
          <w:tcPr>
            <w:tcW w:type="dxa" w:w="2351"/>
          </w:tcPr>
          <w:p>
            <w:r>
              <w:rPr>
                <w:rFonts w:ascii="Times New Roman" w:hAnsi="Times New Roman"/>
                <w:b/>
                <w:sz w:val="20"/>
              </w:rPr>
              <w:t>Variation (CV)</w:t>
            </w:r>
          </w:p>
        </w:tc>
        <w:tc>
          <w:tcPr>
            <w:tcW w:type="dxa" w:w="2351"/>
          </w:tcPr>
          <w:p>
            <w:r>
              <w:rPr>
                <w:rFonts w:ascii="Times New Roman" w:hAnsi="Times New Roman"/>
                <w:b/>
                <w:sz w:val="20"/>
              </w:rPr>
              <w:t>Association with Outcome</w:t>
            </w:r>
          </w:p>
        </w:tc>
      </w:tr>
      <w:tr>
        <w:tc>
          <w:tcPr>
            <w:tcW w:type="dxa" w:w="2351"/>
          </w:tcPr>
          <w:p>
            <w:r>
              <w:rPr>
                <w:rFonts w:ascii="Times New Roman" w:hAnsi="Times New Roman"/>
                <w:sz w:val="20"/>
              </w:rPr>
              <w:t>Statin therapy</w:t>
            </w:r>
          </w:p>
        </w:tc>
        <w:tc>
          <w:tcPr>
            <w:tcW w:type="dxa" w:w="2351"/>
          </w:tcPr>
          <w:p>
            <w:r>
              <w:rPr>
                <w:rFonts w:ascii="Times New Roman" w:hAnsi="Times New Roman"/>
                <w:sz w:val="20"/>
              </w:rPr>
              <w:t>ICR_std (Approach 1)</w:t>
            </w:r>
          </w:p>
        </w:tc>
        <w:tc>
          <w:tcPr>
            <w:tcW w:type="dxa" w:w="2351"/>
          </w:tcPr>
          <w:p>
            <w:r>
              <w:rPr>
                <w:rFonts w:ascii="Times New Roman" w:hAnsi="Times New Roman"/>
                <w:sz w:val="20"/>
              </w:rPr>
              <w:t>0.041</w:t>
            </w:r>
          </w:p>
        </w:tc>
        <w:tc>
          <w:tcPr>
            <w:tcW w:type="dxa" w:w="2351"/>
          </w:tcPr>
          <w:p>
            <w:r>
              <w:rPr>
                <w:rFonts w:ascii="Times New Roman" w:hAnsi="Times New Roman"/>
                <w:sz w:val="20"/>
              </w:rPr>
              <w:t>I-sq = 0.0% (stable)</w:t>
            </w:r>
          </w:p>
        </w:tc>
      </w:tr>
      <w:tr>
        <w:tc>
          <w:tcPr>
            <w:tcW w:type="dxa" w:w="2351"/>
          </w:tcPr>
          <w:p>
            <w:r>
              <w:rPr>
                <w:rFonts w:ascii="Times New Roman" w:hAnsi="Times New Roman"/>
                <w:sz w:val="20"/>
              </w:rPr>
              <w:t>Glucose control</w:t>
            </w:r>
          </w:p>
        </w:tc>
        <w:tc>
          <w:tcPr>
            <w:tcW w:type="dxa" w:w="2351"/>
          </w:tcPr>
          <w:p>
            <w:r>
              <w:rPr>
                <w:rFonts w:ascii="Times New Roman" w:hAnsi="Times New Roman"/>
                <w:sz w:val="20"/>
              </w:rPr>
              <w:t>ICR_std (Approach 1)</w:t>
            </w:r>
          </w:p>
        </w:tc>
        <w:tc>
          <w:tcPr>
            <w:tcW w:type="dxa" w:w="2351"/>
          </w:tcPr>
          <w:p>
            <w:r>
              <w:rPr>
                <w:rFonts w:ascii="Times New Roman" w:hAnsi="Times New Roman"/>
                <w:sz w:val="20"/>
              </w:rPr>
              <w:t>0.240</w:t>
            </w:r>
          </w:p>
        </w:tc>
        <w:tc>
          <w:tcPr>
            <w:tcW w:type="dxa" w:w="2351"/>
          </w:tcPr>
          <w:p>
            <w:r>
              <w:rPr>
                <w:rFonts w:ascii="Times New Roman" w:hAnsi="Times New Roman"/>
                <w:sz w:val="20"/>
              </w:rPr>
              <w:t>I-sq = 17.0% (heterogeneous)</w:t>
            </w:r>
          </w:p>
        </w:tc>
      </w:tr>
      <w:tr>
        <w:tc>
          <w:tcPr>
            <w:tcW w:type="dxa" w:w="2351"/>
          </w:tcPr>
          <w:p>
            <w:r>
              <w:rPr>
                <w:rFonts w:ascii="Times New Roman" w:hAnsi="Times New Roman"/>
                <w:sz w:val="20"/>
              </w:rPr>
              <w:t>IST (loading)</w:t>
            </w:r>
          </w:p>
        </w:tc>
        <w:tc>
          <w:tcPr>
            <w:tcW w:type="dxa" w:w="2351"/>
          </w:tcPr>
          <w:p>
            <w:r>
              <w:rPr>
                <w:rFonts w:ascii="Times New Roman" w:hAnsi="Times New Roman"/>
                <w:sz w:val="20"/>
              </w:rPr>
              <w:t>ICR_pca (Approach 2)</w:t>
            </w:r>
          </w:p>
        </w:tc>
        <w:tc>
          <w:tcPr>
            <w:tcW w:type="dxa" w:w="2351"/>
          </w:tcPr>
          <w:p>
            <w:r>
              <w:rPr>
                <w:rFonts w:ascii="Times New Roman" w:hAnsi="Times New Roman"/>
                <w:sz w:val="20"/>
              </w:rPr>
              <w:t>0.360</w:t>
            </w:r>
          </w:p>
        </w:tc>
        <w:tc>
          <w:tcPr>
            <w:tcW w:type="dxa" w:w="2351"/>
          </w:tcPr>
          <w:p>
            <w:r>
              <w:rPr>
                <w:rFonts w:ascii="Times New Roman" w:hAnsi="Times New Roman"/>
                <w:sz w:val="20"/>
              </w:rPr>
              <w:t>r = 0.27 with mortality</w:t>
            </w:r>
          </w:p>
        </w:tc>
      </w:tr>
      <w:tr>
        <w:tc>
          <w:tcPr>
            <w:tcW w:type="dxa" w:w="2351"/>
          </w:tcPr>
          <w:p>
            <w:r>
              <w:rPr>
                <w:rFonts w:ascii="Times New Roman" w:hAnsi="Times New Roman"/>
                <w:sz w:val="20"/>
              </w:rPr>
              <w:t>IST (regression)</w:t>
            </w:r>
          </w:p>
        </w:tc>
        <w:tc>
          <w:tcPr>
            <w:tcW w:type="dxa" w:w="2351"/>
          </w:tcPr>
          <w:p>
            <w:r>
              <w:rPr>
                <w:rFonts w:ascii="Times New Roman" w:hAnsi="Times New Roman"/>
                <w:sz w:val="20"/>
              </w:rPr>
              <w:t>ICR_pca_reg (Approach 2)</w:t>
            </w:r>
          </w:p>
        </w:tc>
        <w:tc>
          <w:tcPr>
            <w:tcW w:type="dxa" w:w="2351"/>
          </w:tcPr>
          <w:p>
            <w:r>
              <w:rPr>
                <w:rFonts w:ascii="Times New Roman" w:hAnsi="Times New Roman"/>
                <w:sz w:val="20"/>
              </w:rPr>
              <w:t>0.329</w:t>
            </w:r>
          </w:p>
        </w:tc>
        <w:tc>
          <w:tcPr>
            <w:tcW w:type="dxa" w:w="2351"/>
          </w:tcPr>
          <w:p>
            <w:r>
              <w:rPr>
                <w:rFonts w:ascii="Times New Roman" w:hAnsi="Times New Roman"/>
                <w:sz w:val="20"/>
              </w:rPr>
              <w:t>r = 0.90 with mortality</w:t>
            </w:r>
          </w:p>
        </w:tc>
      </w:tr>
    </w:tbl>
    <w:p>
      <w:pPr>
        <w:spacing w:line="480" w:lineRule="auto"/>
      </w:pPr>
      <w:r>
        <w:rPr>
          <w:rFonts w:ascii="Times New Roman" w:hAnsi="Times New Roman"/>
          <w:b w:val="0"/>
          <w:i/>
          <w:sz w:val="24"/>
        </w:rPr>
        <w:t>Table 8. Summary comparison of ICR approaches.</w:t>
      </w:r>
    </w:p>
    <w:p>
      <w:r>
        <w:br w:type="page"/>
      </w:r>
    </w:p>
    <w:p>
      <w:pPr>
        <w:pStyle w:val="Heading1"/>
      </w:pPr>
      <w:r>
        <w:rPr>
          <w:rFonts w:ascii="Times New Roman" w:hAnsi="Times New Roman"/>
          <w:color w:val="000000"/>
        </w:rPr>
        <w:t>Discussion</w:t>
      </w:r>
    </w:p>
    <w:p>
      <w:pPr>
        <w:pStyle w:val="Heading2"/>
      </w:pPr>
      <w:r>
        <w:rPr>
          <w:rFonts w:ascii="Times New Roman" w:hAnsi="Times New Roman"/>
          <w:color w:val="000000"/>
        </w:rPr>
        <w:t>Principal findings</w:t>
      </w:r>
    </w:p>
    <w:p>
      <w:pPr>
        <w:spacing w:line="480" w:lineRule="auto"/>
      </w:pPr>
      <w:r>
        <w:rPr>
          <w:rFonts w:ascii="Times New Roman" w:hAnsi="Times New Roman"/>
          <w:b w:val="0"/>
          <w:i w:val="0"/>
          <w:sz w:val="24"/>
        </w:rPr>
        <w:t>This study introduces the LINKO framework and its Information Contribution Ratio (ICR) as a novel diagnostic for meta-analysis validity, with two complementary approaches and the Prism Forest Plot visualization. Our principal findings are fourfold. First, ICR is computable from published data: using Table 1 summary statistics, ICR_v can be calculated for any RCT. Second, ICR discrepancy associates with heterogeneity: both simulation and real-world analyses suggest greater ICR variation is associated with increased I-squared. Third, PCA-based ICR captures meaningful variation: even within a single trial, ICR_pca varies substantially and correlates strongly with clinical outcomes (r = 0.90). Fourth, the Prism Forest Plot provides an intuitive visualization that immediately reveals structural heterogeneity invisible in standard forest plots.</w:t>
      </w:r>
    </w:p>
    <w:p>
      <w:pPr>
        <w:pStyle w:val="Heading2"/>
      </w:pPr>
      <w:r>
        <w:rPr>
          <w:rFonts w:ascii="Times New Roman" w:hAnsi="Times New Roman"/>
          <w:color w:val="000000"/>
        </w:rPr>
        <w:t>Comparison with existing literature</w:t>
      </w:r>
    </w:p>
    <w:p>
      <w:pPr>
        <w:spacing w:line="480" w:lineRule="auto"/>
      </w:pPr>
      <w:r>
        <w:rPr>
          <w:rFonts w:ascii="Times New Roman" w:hAnsi="Times New Roman"/>
          <w:b w:val="0"/>
          <w:i w:val="0"/>
          <w:sz w:val="24"/>
        </w:rPr>
        <w:t>Standard sources of meta-analysis heterogeneity include clinical diversity, methodological diversity, and statistical heterogeneity [2]. LINKO introduces a fourth source: structural diversity in data dimensionality. This has parallels in high-dimensional statistics [17] but has not previously been applied to meta-analysis. The Prism Forest Plot extends the growing family of enhanced forest plots (e.g., rain forest plots, contour-enhanced funnel plots) by adding the ICR dimension.</w:t>
      </w:r>
    </w:p>
    <w:p>
      <w:pPr>
        <w:pStyle w:val="Heading2"/>
      </w:pPr>
      <w:r>
        <w:rPr>
          <w:rFonts w:ascii="Times New Roman" w:hAnsi="Times New Roman"/>
          <w:color w:val="000000"/>
        </w:rPr>
        <w:t>Strengths and limitations</w:t>
      </w:r>
    </w:p>
    <w:p>
      <w:pPr>
        <w:spacing w:line="480" w:lineRule="auto"/>
      </w:pPr>
      <w:r>
        <w:rPr>
          <w:rFonts w:ascii="Times New Roman" w:hAnsi="Times New Roman"/>
          <w:b w:val="0"/>
          <w:i w:val="0"/>
          <w:sz w:val="24"/>
        </w:rPr>
        <w:t>Strengths: (1) dual approach provides practical (ICR_v) and theoretically grounded (ICR_pca) methods; (2) real-world data grounds the framework in clinical reality; (3) IST validation uses a large, public dataset; (4) leave-one-out analysis confirms robustness; (5) the Prism Forest Plot provides an intuitive visualization.</w:t>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Limitations: (1) simulation produces modest effects (I-squared difference 0.7pp); (2) real-world examples use reconstructed Table 1 data; (3) ICR_raw near zero for binary endpoints with low event rates; (4) IST uses country sub-studies from one trial, not independent trials; (5) loading threshold of 0.3 is conventional but arbitrary; (6) r = 0.90 computed across only 8 data points.</w:t>
      </w:r>
    </w:p>
    <w:p>
      <w:pPr>
        <w:pStyle w:val="Heading2"/>
      </w:pPr>
      <w:r>
        <w:rPr>
          <w:rFonts w:ascii="Times New Roman" w:hAnsi="Times New Roman"/>
          <w:color w:val="000000"/>
        </w:rPr>
        <w:t>Implications for practice</w:t>
      </w:r>
    </w:p>
    <w:p>
      <w:pPr>
        <w:spacing w:line="480" w:lineRule="auto"/>
      </w:pPr>
      <w:r>
        <w:rPr>
          <w:rFonts w:ascii="Times New Roman" w:hAnsi="Times New Roman"/>
          <w:b w:val="0"/>
          <w:i w:val="0"/>
          <w:sz w:val="24"/>
        </w:rPr>
        <w:t>We recommend: (1) compute ICR_std for each study and report ICRD alongside I-squared; (2) use the Prism Forest Plot to visualize ICR variation; (3) investigate dimensional differences when ICRD is large; (4) consider ICR-based sensitivity analyses; (5) harmonize data collection in multi-center RCTs to reduce ICRD.</w:t>
      </w:r>
    </w:p>
    <w:p>
      <w:pPr>
        <w:pStyle w:val="Heading2"/>
      </w:pPr>
      <w:r>
        <w:rPr>
          <w:rFonts w:ascii="Times New Roman" w:hAnsi="Times New Roman"/>
          <w:color w:val="000000"/>
        </w:rPr>
        <w:t>Future directions</w:t>
      </w:r>
    </w:p>
    <w:p>
      <w:pPr>
        <w:spacing w:line="480" w:lineRule="auto"/>
      </w:pPr>
      <w:r>
        <w:rPr>
          <w:rFonts w:ascii="Times New Roman" w:hAnsi="Times New Roman"/>
          <w:b w:val="0"/>
          <w:i w:val="0"/>
          <w:sz w:val="24"/>
        </w:rPr>
        <w:t>Future work: (1) multi-trial IPD validation; (2) large-scale Cochrane review study; (3) formal causal framework; (4) ICR-weighted meta-analysis methods; (5) interactive Prism Forest Plot software tool.</w:t>
      </w:r>
    </w:p>
    <w:p>
      <w:r>
        <w:br w:type="page"/>
      </w:r>
    </w:p>
    <w:p>
      <w:pPr>
        <w:pStyle w:val="Heading1"/>
      </w:pPr>
      <w:r>
        <w:rPr>
          <w:rFonts w:ascii="Times New Roman" w:hAnsi="Times New Roman"/>
          <w:color w:val="000000"/>
        </w:rPr>
        <w:t>Conclusions</w:t>
      </w:r>
    </w:p>
    <w:p>
      <w:pPr>
        <w:spacing w:line="480" w:lineRule="auto"/>
      </w:pPr>
      <w:r>
        <w:rPr>
          <w:rFonts w:ascii="Times New Roman" w:hAnsi="Times New Roman"/>
          <w:b w:val="0"/>
          <w:i w:val="0"/>
          <w:sz w:val="24"/>
        </w:rPr>
        <w:t>We have introduced the LINKO (Latent Information Normalization for Key Outcomes) framework, centered on the Information Contribution Ratio (ICR) and the Prism Forest Plot visualization, as novel diagnostic tools for assessing meta-analysis validity. ICR quantifies how much of a study's total information is captured by its endpoint. Our simulation demonstrates the theoretical mechanism, our real-world analysis shows consistency with known heterogeneity patterns, our PCA validation confirms meaningful ICR variation (r = 0.90, robust in leave-one-out analysis), and the Prism Forest Plot enables immediate visual assessment. We recommend that ICR discrepancy and the Prism Forest Plot be reported as supplementary diagnostics in meta-analyses to improve transparency and interpretability of evidence synthesis.</w:t>
      </w:r>
    </w:p>
    <w:p>
      <w:r>
        <w:br w:type="page"/>
      </w:r>
    </w:p>
    <w:p>
      <w:pPr>
        <w:pStyle w:val="Heading1"/>
      </w:pPr>
      <w:r>
        <w:rPr>
          <w:rFonts w:ascii="Times New Roman" w:hAnsi="Times New Roman"/>
          <w:color w:val="000000"/>
        </w:rPr>
        <w:t>Declarations</w:t>
      </w:r>
    </w:p>
    <w:p>
      <w:pPr>
        <w:pStyle w:val="Heading2"/>
      </w:pPr>
      <w:r>
        <w:rPr>
          <w:rFonts w:ascii="Times New Roman" w:hAnsi="Times New Roman"/>
          <w:color w:val="000000"/>
        </w:rPr>
        <w:t>Ethics approval and consent to participate</w:t>
      </w:r>
    </w:p>
    <w:p>
      <w:pPr>
        <w:spacing w:line="480" w:lineRule="auto"/>
      </w:pPr>
      <w:r>
        <w:rPr>
          <w:rFonts w:ascii="Times New Roman" w:hAnsi="Times New Roman"/>
          <w:b w:val="0"/>
          <w:i w:val="0"/>
          <w:sz w:val="24"/>
        </w:rPr>
        <w:t>Not applicable. This study uses simulation data and a publicly available, de-identified dataset (IST).</w:t>
      </w:r>
    </w:p>
    <w:p>
      <w:pPr>
        <w:pStyle w:val="Heading2"/>
      </w:pPr>
      <w:r>
        <w:rPr>
          <w:rFonts w:ascii="Times New Roman" w:hAnsi="Times New Roman"/>
          <w:color w:val="000000"/>
        </w:rPr>
        <w:t>Consent for publication</w:t>
      </w:r>
    </w:p>
    <w:p>
      <w:pPr>
        <w:spacing w:line="480" w:lineRule="auto"/>
      </w:pPr>
      <w:r>
        <w:rPr>
          <w:rFonts w:ascii="Times New Roman" w:hAnsi="Times New Roman"/>
          <w:b w:val="0"/>
          <w:i w:val="0"/>
          <w:sz w:val="24"/>
        </w:rPr>
        <w:t>Not applicable.</w:t>
      </w:r>
    </w:p>
    <w:p>
      <w:pPr>
        <w:pStyle w:val="Heading2"/>
      </w:pPr>
      <w:r>
        <w:rPr>
          <w:rFonts w:ascii="Times New Roman" w:hAnsi="Times New Roman"/>
          <w:color w:val="000000"/>
        </w:rPr>
        <w:t>Availability of data and materials</w:t>
      </w:r>
    </w:p>
    <w:p>
      <w:pPr>
        <w:spacing w:line="480" w:lineRule="auto"/>
      </w:pPr>
      <w:r>
        <w:rPr>
          <w:rFonts w:ascii="Times New Roman" w:hAnsi="Times New Roman"/>
          <w:b w:val="0"/>
          <w:i w:val="0"/>
          <w:sz w:val="24"/>
        </w:rPr>
        <w:t>The IST dataset is publicly available from the University of Edinburgh (https://datashare.ed.ac.uk/handle/10283/128). All analysis code is available at: https://github.com/bougtoir/wip/tree/devin/1774353301-icr-paper/icr_paper</w:t>
      </w:r>
    </w:p>
    <w:p>
      <w:pPr>
        <w:pStyle w:val="Heading2"/>
      </w:pPr>
      <w:r>
        <w:rPr>
          <w:rFonts w:ascii="Times New Roman" w:hAnsi="Times New Roman"/>
          <w:color w:val="000000"/>
        </w:rPr>
        <w:t>Competing interests</w:t>
      </w:r>
    </w:p>
    <w:p>
      <w:pPr>
        <w:spacing w:line="480" w:lineRule="auto"/>
      </w:pPr>
      <w:r>
        <w:rPr>
          <w:rFonts w:ascii="Times New Roman" w:hAnsi="Times New Roman"/>
          <w:b w:val="0"/>
          <w:i w:val="0"/>
          <w:sz w:val="24"/>
        </w:rPr>
        <w:t>The authors declare that they have no competing interests.</w:t>
      </w:r>
    </w:p>
    <w:p>
      <w:pPr>
        <w:pStyle w:val="Heading2"/>
      </w:pPr>
      <w:r>
        <w:rPr>
          <w:rFonts w:ascii="Times New Roman" w:hAnsi="Times New Roman"/>
          <w:color w:val="000000"/>
        </w:rPr>
        <w:t>Funding</w:t>
      </w:r>
    </w:p>
    <w:p>
      <w:pPr>
        <w:spacing w:line="480" w:lineRule="auto"/>
      </w:pPr>
      <w:r>
        <w:rPr>
          <w:rFonts w:ascii="Times New Roman" w:hAnsi="Times New Roman"/>
          <w:b w:val="0"/>
          <w:i w:val="0"/>
          <w:sz w:val="24"/>
        </w:rPr>
        <w:t>[To be completed]</w:t>
      </w:r>
    </w:p>
    <w:p>
      <w:pPr>
        <w:pStyle w:val="Heading2"/>
      </w:pPr>
      <w:r>
        <w:rPr>
          <w:rFonts w:ascii="Times New Roman" w:hAnsi="Times New Roman"/>
          <w:color w:val="000000"/>
        </w:rPr>
        <w:t>Authors' contributions</w:t>
      </w:r>
    </w:p>
    <w:p>
      <w:pPr>
        <w:spacing w:line="480" w:lineRule="auto"/>
      </w:pPr>
      <w:r>
        <w:rPr>
          <w:rFonts w:ascii="Times New Roman" w:hAnsi="Times New Roman"/>
          <w:b w:val="0"/>
          <w:i w:val="0"/>
          <w:sz w:val="24"/>
        </w:rPr>
        <w:t>[To be completed]</w:t>
      </w:r>
    </w:p>
    <w:p>
      <w:pPr>
        <w:pStyle w:val="Heading2"/>
      </w:pPr>
      <w:r>
        <w:rPr>
          <w:rFonts w:ascii="Times New Roman" w:hAnsi="Times New Roman"/>
          <w:color w:val="000000"/>
        </w:rPr>
        <w:t>Acknowledgements</w:t>
      </w:r>
    </w:p>
    <w:p>
      <w:pPr>
        <w:spacing w:line="480" w:lineRule="auto"/>
      </w:pPr>
      <w:r>
        <w:rPr>
          <w:rFonts w:ascii="Times New Roman" w:hAnsi="Times New Roman"/>
          <w:b w:val="0"/>
          <w:i w:val="0"/>
          <w:sz w:val="24"/>
        </w:rPr>
        <w:t>[To be completed]</w:t>
      </w:r>
    </w:p>
    <w:p>
      <w:r>
        <w:br w:type="page"/>
      </w:r>
    </w:p>
    <w:p>
      <w:pPr>
        <w:pStyle w:val="Heading1"/>
      </w:pPr>
      <w:r>
        <w:rPr>
          <w:rFonts w:ascii="Times New Roman" w:hAnsi="Times New Roman"/>
          <w:color w:val="000000"/>
        </w:rPr>
        <w:t>References</w:t>
      </w:r>
    </w:p>
    <w:p>
      <w:pPr>
        <w:spacing w:line="480" w:lineRule="auto"/>
      </w:pPr>
      <w:r>
        <w:rPr>
          <w:rFonts w:ascii="Times New Roman" w:hAnsi="Times New Roman"/>
          <w:b w:val="0"/>
          <w:i w:val="0"/>
          <w:sz w:val="24"/>
        </w:rPr>
        <w:t>1. Higgins JPT, Thompson SG, Deeks JJ, Altman DG. Measuring inconsistency in meta-analyses. BMJ. 2003;327(7414):557-560.</w:t>
      </w:r>
    </w:p>
    <w:p>
      <w:pPr>
        <w:spacing w:line="480" w:lineRule="auto"/>
      </w:pPr>
      <w:r>
        <w:rPr>
          <w:rFonts w:ascii="Times New Roman" w:hAnsi="Times New Roman"/>
          <w:b w:val="0"/>
          <w:i w:val="0"/>
          <w:sz w:val="24"/>
        </w:rPr>
        <w:t>2. Higgins JPT, Thomas J, Chandler J, et al. Cochrane Handbook for Systematic Reviews of Interventions. Version 6.3. Cochrane; 2022.</w:t>
      </w:r>
    </w:p>
    <w:p>
      <w:pPr>
        <w:spacing w:line="480" w:lineRule="auto"/>
      </w:pPr>
      <w:r>
        <w:rPr>
          <w:rFonts w:ascii="Times New Roman" w:hAnsi="Times New Roman"/>
          <w:b w:val="0"/>
          <w:i w:val="0"/>
          <w:sz w:val="24"/>
        </w:rPr>
        <w:t>3. Morris TP, White IR, Crowther MJ. Using simulation studies to evaluate statistical methods. Stat Med. 2019;38(11):2074-2102.</w:t>
      </w:r>
    </w:p>
    <w:p>
      <w:pPr>
        <w:spacing w:line="480" w:lineRule="auto"/>
      </w:pPr>
      <w:r>
        <w:rPr>
          <w:rFonts w:ascii="Times New Roman" w:hAnsi="Times New Roman"/>
          <w:b w:val="0"/>
          <w:i w:val="0"/>
          <w:sz w:val="24"/>
        </w:rPr>
        <w:t>4. Siepe BS, Bartos F, Morris TP, et al. Simulation studies for methodological research in psychology. Psychol Methods. 2024.</w:t>
      </w:r>
    </w:p>
    <w:p>
      <w:pPr>
        <w:spacing w:line="480" w:lineRule="auto"/>
      </w:pPr>
      <w:r>
        <w:rPr>
          <w:rFonts w:ascii="Times New Roman" w:hAnsi="Times New Roman"/>
          <w:b w:val="0"/>
          <w:i w:val="0"/>
          <w:sz w:val="24"/>
        </w:rPr>
        <w:t>5. DerSimonian R, Laird N. Meta-analysis in clinical trials. Control Clin Trials. 1986;7(3):177-188.</w:t>
      </w:r>
    </w:p>
    <w:p>
      <w:pPr>
        <w:spacing w:line="480" w:lineRule="auto"/>
      </w:pPr>
      <w:r>
        <w:rPr>
          <w:rFonts w:ascii="Times New Roman" w:hAnsi="Times New Roman"/>
          <w:b w:val="0"/>
          <w:i w:val="0"/>
          <w:sz w:val="24"/>
        </w:rPr>
        <w:t>6. Scandinavian Simvastatin Survival Study Group. Randomised trial of cholesterol lowering in 4444 patients (4S). Lancet. 1994;344:1383-1389.</w:t>
      </w:r>
    </w:p>
    <w:p>
      <w:pPr>
        <w:spacing w:line="480" w:lineRule="auto"/>
      </w:pPr>
      <w:r>
        <w:rPr>
          <w:rFonts w:ascii="Times New Roman" w:hAnsi="Times New Roman"/>
          <w:b w:val="0"/>
          <w:i w:val="0"/>
          <w:sz w:val="24"/>
        </w:rPr>
        <w:t>7. Shepherd J, et al. Prevention of coronary heart disease with pravastatin (WOSCOPS). N Engl J Med. 1995;333:1301-1307.</w:t>
      </w:r>
    </w:p>
    <w:p>
      <w:pPr>
        <w:spacing w:line="480" w:lineRule="auto"/>
      </w:pPr>
      <w:r>
        <w:rPr>
          <w:rFonts w:ascii="Times New Roman" w:hAnsi="Times New Roman"/>
          <w:b w:val="0"/>
          <w:i w:val="0"/>
          <w:sz w:val="24"/>
        </w:rPr>
        <w:t>8. Sacks FM, et al. Effect of pravastatin on coronary events after MI (CARE). N Engl J Med. 1996;335:1001-1009.</w:t>
      </w:r>
    </w:p>
    <w:p>
      <w:pPr>
        <w:spacing w:line="480" w:lineRule="auto"/>
      </w:pPr>
      <w:r>
        <w:rPr>
          <w:rFonts w:ascii="Times New Roman" w:hAnsi="Times New Roman"/>
          <w:b w:val="0"/>
          <w:i w:val="0"/>
          <w:sz w:val="24"/>
        </w:rPr>
        <w:t>9. LIPID Study Group. Prevention of cardiovascular events with pravastatin (LIPID). N Engl J Med. 1998;339:1349-1357.</w:t>
      </w:r>
    </w:p>
    <w:p>
      <w:pPr>
        <w:spacing w:line="480" w:lineRule="auto"/>
      </w:pPr>
      <w:r>
        <w:rPr>
          <w:rFonts w:ascii="Times New Roman" w:hAnsi="Times New Roman"/>
          <w:b w:val="0"/>
          <w:i w:val="0"/>
          <w:sz w:val="24"/>
        </w:rPr>
        <w:t>10. Downs JR, et al. Primary prevention of acute coronary events with lovastatin (AFCAPS/TexCAPS). JAMA. 1998;279:1615-1622.</w:t>
      </w:r>
    </w:p>
    <w:p>
      <w:pPr>
        <w:spacing w:line="480" w:lineRule="auto"/>
      </w:pPr>
      <w:r>
        <w:rPr>
          <w:rFonts w:ascii="Times New Roman" w:hAnsi="Times New Roman"/>
          <w:b w:val="0"/>
          <w:i w:val="0"/>
          <w:sz w:val="24"/>
        </w:rPr>
        <w:t>11. UKPDS Group. Intensive blood-glucose control (UKPDS 33). Lancet. 1998;352:837-853.</w:t>
      </w:r>
    </w:p>
    <w:p>
      <w:pPr>
        <w:spacing w:line="480" w:lineRule="auto"/>
      </w:pPr>
      <w:r>
        <w:rPr>
          <w:rFonts w:ascii="Times New Roman" w:hAnsi="Times New Roman"/>
          <w:b w:val="0"/>
          <w:i w:val="0"/>
          <w:sz w:val="24"/>
        </w:rPr>
        <w:t>12. ACCORD Study Group. Effects of intensive glucose lowering in type 2 diabetes. N Engl J Med. 2008;358:2545-2559.</w:t>
      </w:r>
    </w:p>
    <w:p>
      <w:pPr>
        <w:spacing w:line="480" w:lineRule="auto"/>
      </w:pPr>
      <w:r>
        <w:rPr>
          <w:rFonts w:ascii="Times New Roman" w:hAnsi="Times New Roman"/>
          <w:b w:val="0"/>
          <w:i w:val="0"/>
          <w:sz w:val="24"/>
        </w:rPr>
        <w:t>13. ADVANCE Collaborative Group. Intensive blood glucose control (ADVANCE). N Engl J Med. 2008;358:2560-2572.</w:t>
      </w:r>
    </w:p>
    <w:p>
      <w:pPr>
        <w:spacing w:line="480" w:lineRule="auto"/>
      </w:pPr>
      <w:r>
        <w:rPr>
          <w:rFonts w:ascii="Times New Roman" w:hAnsi="Times New Roman"/>
          <w:b w:val="0"/>
          <w:i w:val="0"/>
          <w:sz w:val="24"/>
        </w:rPr>
        <w:t>14. Duckworth W, et al. Glucose control and vascular complications in veterans (VADT). N Engl J Med. 2009;360:129-139.</w:t>
      </w:r>
    </w:p>
    <w:p>
      <w:pPr>
        <w:spacing w:line="480" w:lineRule="auto"/>
      </w:pPr>
      <w:r>
        <w:rPr>
          <w:rFonts w:ascii="Times New Roman" w:hAnsi="Times New Roman"/>
          <w:b w:val="0"/>
          <w:i w:val="0"/>
          <w:sz w:val="24"/>
        </w:rPr>
        <w:t>15. International Stroke Trial Collaborative Group. The IST. Lancet. 1997;349:1569-1581.</w:t>
      </w:r>
    </w:p>
    <w:p>
      <w:pPr>
        <w:spacing w:line="480" w:lineRule="auto"/>
      </w:pPr>
      <w:r>
        <w:rPr>
          <w:rFonts w:ascii="Times New Roman" w:hAnsi="Times New Roman"/>
          <w:b w:val="0"/>
          <w:i w:val="0"/>
          <w:sz w:val="24"/>
        </w:rPr>
        <w:t>16. Sandercock PAG, et al. The IST database. Trials. 2011;12:101.</w:t>
      </w:r>
    </w:p>
    <w:p>
      <w:pPr>
        <w:spacing w:line="480" w:lineRule="auto"/>
      </w:pPr>
      <w:r>
        <w:rPr>
          <w:rFonts w:ascii="Times New Roman" w:hAnsi="Times New Roman"/>
          <w:b w:val="0"/>
          <w:i w:val="0"/>
          <w:sz w:val="24"/>
        </w:rPr>
        <w:t>17. Donoho DL. High-dimensional data analysis: curses and blessings of dimensionality. AMS Math Challenges Lecture. 2000:1-32.</w:t>
      </w:r>
    </w:p>
    <w:p>
      <w:pPr>
        <w:spacing w:line="480" w:lineRule="auto"/>
      </w:pPr>
      <w:r>
        <w:rPr>
          <w:rFonts w:ascii="Times New Roman" w:hAnsi="Times New Roman"/>
          <w:b w:val="0"/>
          <w:i w:val="0"/>
          <w:sz w:val="24"/>
        </w:rPr>
        <w:t>18. Schild AHE, Voracek M. Less is less: a systematic review of graph use in meta-analyses. Res Synth Methods. 2013;4(3):209-219.</w:t>
      </w:r>
    </w:p>
    <w:p>
      <w:pPr>
        <w:spacing w:line="480" w:lineRule="auto"/>
      </w:pPr>
      <w:r>
        <w:rPr>
          <w:rFonts w:ascii="Times New Roman" w:hAnsi="Times New Roman"/>
          <w:b w:val="0"/>
          <w:i w:val="0"/>
          <w:sz w:val="24"/>
        </w:rPr>
        <w:t>19. Peters JL, Sutton AJ, Jones DR, Abrams KR, Rushton L. Contour-enhanced meta-analysis funnel plots. J Clin Epidemiol. 2008;61(10):991-996.</w:t>
      </w:r>
    </w:p>
    <w:p>
      <w:pPr>
        <w:spacing w:line="480" w:lineRule="auto"/>
      </w:pPr>
      <w:r>
        <w:rPr>
          <w:rFonts w:ascii="Times New Roman" w:hAnsi="Times New Roman"/>
          <w:b w:val="0"/>
          <w:i w:val="0"/>
          <w:sz w:val="24"/>
        </w:rPr>
        <w:t>20. Doi SAR, Barendregt JJ, Khan S, et al. Advances in the meta-analysis of heterogeneous clinical trials I. Contemp Clin Trials. 2015;45:130-138.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