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val="0"/>
          <w:i w:val="0"/>
          <w:sz w:val="24"/>
        </w:rPr>
      </w:r>
    </w:p>
    <w:p>
      <w:pPr>
        <w:jc w:val="center"/>
      </w:pPr>
      <w:r>
        <w:rPr>
          <w:rFonts w:ascii="Times New Roman" w:hAnsi="Times New Roman"/>
          <w:b/>
          <w:sz w:val="32"/>
        </w:rPr>
        <w:t>LINKO (Latent Information Normalization for Key Outcomes):</w:t>
        <w:br/>
        <w:t>A Framework for Evaluating the Validity of</w:t>
        <w:br/>
        <w:t>Meta-Analytic Pooling Across Heterogeneous RCT Data Structures</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sz w:val="24"/>
        </w:rPr>
        <w:t>Running head: LINKO: Information Contribution Ratio for Meta-Analysis Validity</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val="0"/>
          <w:sz w:val="24"/>
        </w:rPr>
        <w:t>Tatsuki Onishi [ORCID: https://orcid.org/XXXX-XXXX-XXXX-XXXX]</w:t>
      </w:r>
    </w:p>
    <w:p>
      <w:pPr>
        <w:spacing w:line="480" w:lineRule="auto"/>
        <w:jc w:val="center"/>
      </w:pPr>
      <w:r>
        <w:rPr>
          <w:rFonts w:ascii="Times New Roman" w:hAnsi="Times New Roman"/>
          <w:b w:val="0"/>
          <w:i w:val="0"/>
          <w:sz w:val="24"/>
        </w:rPr>
        <w:t>[Affiliations]</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val="0"/>
          <w:sz w:val="24"/>
        </w:rPr>
        <w:t>Corresponding author: Tatsuki Onishi, [Email], ORCID: https://orcid.org/XXXX-XXXX-XXXX-XXXX</w:t>
      </w:r>
    </w:p>
    <w:p>
      <w:r>
        <w:br w:type="page"/>
      </w:r>
    </w:p>
    <w:p>
      <w:pPr>
        <w:pStyle w:val="Heading1"/>
      </w:pPr>
      <w:r>
        <w:rPr>
          <w:rFonts w:ascii="Times New Roman" w:hAnsi="Times New Roman"/>
          <w:color w:val="000000"/>
        </w:rPr>
        <w:t>Abstract</w:t>
      </w:r>
    </w:p>
    <w:p>
      <w:pPr>
        <w:spacing w:line="480" w:lineRule="auto"/>
      </w:pPr>
      <w:r>
        <w:rPr>
          <w:rFonts w:ascii="Times New Roman" w:hAnsi="Times New Roman"/>
          <w:b/>
          <w:sz w:val="24"/>
        </w:rPr>
        <w:t xml:space="preserve">Aim(s): </w:t>
      </w:r>
      <w:r>
        <w:rPr>
          <w:rFonts w:ascii="Times New Roman" w:hAnsi="Times New Roman"/>
          <w:sz w:val="24"/>
        </w:rPr>
        <w:t>We introduce the LINKO (Latent Information Normalization for Key Outcomes) framework, proposing the Information Contribution Ratio (ICR) as a diagnostic measure for assessing whether endpoint variables carry equivalent informational weight across studies in a meta-analysis.</w:t>
      </w:r>
    </w:p>
    <w:p>
      <w:pPr>
        <w:spacing w:line="480" w:lineRule="auto"/>
      </w:pPr>
      <w:r>
        <w:rPr>
          <w:rFonts w:ascii="Times New Roman" w:hAnsi="Times New Roman"/>
          <w:b/>
          <w:sz w:val="24"/>
        </w:rPr>
        <w:t xml:space="preserve">Background: </w:t>
      </w:r>
      <w:r>
        <w:rPr>
          <w:rFonts w:ascii="Times New Roman" w:hAnsi="Times New Roman"/>
          <w:sz w:val="24"/>
        </w:rPr>
        <w:t>Meta-analysis pools effect sizes from multiple RCTs, but each RCT collects different numbers of variables, meaning the endpoint may represent vastly different proportions of the total information space. This structural heterogeneity is not captured by I-squared or tau-squared.</w:t>
      </w:r>
    </w:p>
    <w:p>
      <w:pPr>
        <w:spacing w:line="480" w:lineRule="auto"/>
      </w:pPr>
      <w:r>
        <w:rPr>
          <w:rFonts w:ascii="Times New Roman" w:hAnsi="Times New Roman"/>
          <w:b/>
          <w:sz w:val="24"/>
        </w:rPr>
        <w:t xml:space="preserve">Methods: </w:t>
      </w:r>
      <w:r>
        <w:rPr>
          <w:rFonts w:ascii="Times New Roman" w:hAnsi="Times New Roman"/>
          <w:sz w:val="24"/>
        </w:rPr>
        <w:t>We define ICR as the proportion of a study's total data information attributable to its endpoint. Two approaches are developed: (1) a variance-based approach (ICR_std = d/D) computable from published Table 1 statistics, and (2) a PCA-based approach (ICR_pca) using individual patient data. We introduce the Prism Forest Plot encoding ICR as color and size dimensions. Validation includes Monte Carlo simulation (ADEMP framework), two real-world domains, PCA validation using the IST dataset (19,435 patients, 8 country sub-studies), and leave-one-out sensitivity analysis.</w:t>
      </w:r>
    </w:p>
    <w:p>
      <w:pPr>
        <w:spacing w:line="480" w:lineRule="auto"/>
      </w:pPr>
      <w:r>
        <w:rPr>
          <w:rFonts w:ascii="Times New Roman" w:hAnsi="Times New Roman"/>
          <w:b/>
          <w:sz w:val="24"/>
        </w:rPr>
        <w:t xml:space="preserve">Results: </w:t>
      </w:r>
      <w:r>
        <w:rPr>
          <w:rFonts w:ascii="Times New Roman" w:hAnsi="Times New Roman"/>
          <w:sz w:val="24"/>
        </w:rPr>
        <w:t>In simulation, heterogeneous ICR yielded higher I-squared (11.7% vs 11.0%). In real-world data, statin therapy (low ICRD = 0.009) showed I-squared = 0.0%, while glucose control (ICRD = 0.048) showed I-squared = 17.0%. PCA-based ICR varied 4-fold across IST sub-studies (CV = 0.36); regression-based ICR_pca correlated with 14-day mortality (r = 0.90, p = 0.003), robust in leave-one-out analysis (r = 0.84-0.95, all p &lt; 0.02).</w:t>
      </w:r>
    </w:p>
    <w:p>
      <w:pPr>
        <w:spacing w:line="480" w:lineRule="auto"/>
      </w:pPr>
      <w:r>
        <w:rPr>
          <w:rFonts w:ascii="Times New Roman" w:hAnsi="Times New Roman"/>
          <w:b/>
          <w:sz w:val="24"/>
        </w:rPr>
        <w:t xml:space="preserve">Conclusions: </w:t>
      </w:r>
      <w:r>
        <w:rPr>
          <w:rFonts w:ascii="Times New Roman" w:hAnsi="Times New Roman"/>
          <w:sz w:val="24"/>
        </w:rPr>
        <w:t>LINKO provides a computable diagnostic for assessing structural comparability in meta-analysis. We recommend reporting ICR discrepancy alongside I-squared and tau-squared.</w:t>
      </w:r>
    </w:p>
    <w:p>
      <w:pPr>
        <w:spacing w:line="480" w:lineRule="auto"/>
      </w:pPr>
      <w:r>
        <w:rPr>
          <w:rFonts w:ascii="Times New Roman" w:hAnsi="Times New Roman"/>
          <w:b/>
          <w:sz w:val="24"/>
        </w:rPr>
        <w:t xml:space="preserve">Keywords: </w:t>
      </w:r>
      <w:r>
        <w:rPr>
          <w:rFonts w:ascii="Times New Roman" w:hAnsi="Times New Roman"/>
          <w:sz w:val="24"/>
        </w:rPr>
        <w:t>meta-analysis, heterogeneity, information contribution ratio, evidence synthesis, principal component analysis, individual patient data, forest plot</w:t>
      </w:r>
    </w:p>
    <w:p>
      <w:pPr>
        <w:spacing w:line="480" w:lineRule="auto"/>
      </w:pPr>
      <w:r>
        <w:rPr>
          <w:rFonts w:ascii="Times New Roman" w:hAnsi="Times New Roman"/>
          <w:b/>
          <w:sz w:val="24"/>
        </w:rPr>
        <w:t xml:space="preserve">Research Synthesis Keywords: </w:t>
      </w:r>
      <w:r>
        <w:rPr>
          <w:rFonts w:ascii="Times New Roman" w:hAnsi="Times New Roman"/>
          <w:sz w:val="24"/>
        </w:rPr>
        <w:t>meta-analysis heterogeneity diagnostics; structural heterogeneity; individual participant data synthesis; novel visualization methods; simulation study</w:t>
      </w:r>
    </w:p>
    <w:p>
      <w:r>
        <w:br w:type="page"/>
      </w:r>
    </w:p>
    <w:p>
      <w:pPr>
        <w:pStyle w:val="Heading2"/>
      </w:pPr>
      <w:r>
        <w:rPr>
          <w:rFonts w:ascii="Times New Roman" w:hAnsi="Times New Roman"/>
          <w:color w:val="000000"/>
        </w:rPr>
        <w:t>What is already known</w:t>
      </w:r>
    </w:p>
    <w:p>
      <w:pPr>
        <w:spacing w:line="480" w:lineRule="auto"/>
      </w:pPr>
      <w:r>
        <w:rPr>
          <w:rFonts w:ascii="Times New Roman" w:hAnsi="Times New Roman"/>
          <w:b w:val="0"/>
          <w:i w:val="0"/>
          <w:sz w:val="24"/>
        </w:rPr>
        <w:t>• Meta-analysis heterogeneity is assessed using I-squared and tau-squared, which capture statistical variability across studies.</w:t>
      </w:r>
    </w:p>
    <w:p>
      <w:pPr>
        <w:spacing w:line="480" w:lineRule="auto"/>
      </w:pPr>
      <w:r>
        <w:rPr>
          <w:rFonts w:ascii="Times New Roman" w:hAnsi="Times New Roman"/>
          <w:b w:val="0"/>
          <w:i w:val="0"/>
          <w:sz w:val="24"/>
        </w:rPr>
        <w:t>• Sources of heterogeneity are typically categorized as clinical, methodological, or statistical diversity.</w:t>
      </w:r>
    </w:p>
    <w:p>
      <w:pPr>
        <w:spacing w:line="480" w:lineRule="auto"/>
      </w:pPr>
      <w:r>
        <w:rPr>
          <w:rFonts w:ascii="Times New Roman" w:hAnsi="Times New Roman"/>
          <w:b w:val="0"/>
          <w:i w:val="0"/>
          <w:sz w:val="24"/>
        </w:rPr>
        <w:t>• Differences in the number and type of variables collected across RCTs are acknowledged but not formally quantified in current meta-analytic practice.</w:t>
      </w:r>
    </w:p>
    <w:p>
      <w:pPr>
        <w:spacing w:line="480" w:lineRule="auto"/>
      </w:pPr>
      <w:r>
        <w:rPr>
          <w:rFonts w:ascii="Times New Roman" w:hAnsi="Times New Roman"/>
          <w:b w:val="0"/>
          <w:i w:val="0"/>
          <w:sz w:val="24"/>
        </w:rPr>
      </w:r>
    </w:p>
    <w:p>
      <w:pPr>
        <w:pStyle w:val="Heading2"/>
      </w:pPr>
      <w:r>
        <w:rPr>
          <w:rFonts w:ascii="Times New Roman" w:hAnsi="Times New Roman"/>
          <w:color w:val="000000"/>
        </w:rPr>
        <w:t>What is new</w:t>
      </w:r>
    </w:p>
    <w:p>
      <w:pPr>
        <w:spacing w:line="480" w:lineRule="auto"/>
      </w:pPr>
      <w:r>
        <w:rPr>
          <w:rFonts w:ascii="Times New Roman" w:hAnsi="Times New Roman"/>
          <w:b w:val="0"/>
          <w:i w:val="0"/>
          <w:sz w:val="24"/>
        </w:rPr>
        <w:t>• We propose the Information Contribution Ratio (ICR), a measure of how much of a study's total data information is captured by its endpoint, computable from published Table 1 summary statistics.</w:t>
      </w:r>
    </w:p>
    <w:p>
      <w:pPr>
        <w:spacing w:line="480" w:lineRule="auto"/>
      </w:pPr>
      <w:r>
        <w:rPr>
          <w:rFonts w:ascii="Times New Roman" w:hAnsi="Times New Roman"/>
          <w:b w:val="0"/>
          <w:i w:val="0"/>
          <w:sz w:val="24"/>
        </w:rPr>
        <w:t>• We introduce a PCA-based ICR approach for individual patient data that captures the full covariance structure of the endpoint within each study.</w:t>
      </w:r>
    </w:p>
    <w:p>
      <w:pPr>
        <w:spacing w:line="480" w:lineRule="auto"/>
      </w:pPr>
      <w:r>
        <w:rPr>
          <w:rFonts w:ascii="Times New Roman" w:hAnsi="Times New Roman"/>
          <w:b w:val="0"/>
          <w:i w:val="0"/>
          <w:sz w:val="24"/>
        </w:rPr>
        <w:t>• The Prism Forest Plot extends the standard forest plot by encoding ICR as color and point-size dimensions, making structural heterogeneity immediately visible.</w:t>
      </w:r>
    </w:p>
    <w:p>
      <w:pPr>
        <w:spacing w:line="480" w:lineRule="auto"/>
      </w:pPr>
      <w:r>
        <w:rPr>
          <w:rFonts w:ascii="Times New Roman" w:hAnsi="Times New Roman"/>
          <w:b w:val="0"/>
          <w:i w:val="0"/>
          <w:sz w:val="24"/>
        </w:rPr>
      </w:r>
    </w:p>
    <w:p>
      <w:pPr>
        <w:pStyle w:val="Heading2"/>
      </w:pPr>
      <w:r>
        <w:rPr>
          <w:rFonts w:ascii="Times New Roman" w:hAnsi="Times New Roman"/>
          <w:color w:val="000000"/>
        </w:rPr>
        <w:t>Potential impact for RSM readers outside the authors' field</w:t>
      </w:r>
    </w:p>
    <w:p>
      <w:pPr>
        <w:spacing w:line="480" w:lineRule="auto"/>
      </w:pPr>
      <w:r>
        <w:rPr>
          <w:rFonts w:ascii="Times New Roman" w:hAnsi="Times New Roman"/>
          <w:b w:val="0"/>
          <w:i w:val="0"/>
          <w:sz w:val="24"/>
        </w:rPr>
        <w:t>• Meta-analysts across all disciplines can retrospectively compute ICR for any published RCT using Table 1 data, without requiring individual patient data or additional statistical software.</w:t>
      </w:r>
    </w:p>
    <w:p>
      <w:pPr>
        <w:spacing w:line="480" w:lineRule="auto"/>
      </w:pPr>
      <w:r>
        <w:rPr>
          <w:rFonts w:ascii="Times New Roman" w:hAnsi="Times New Roman"/>
          <w:b w:val="0"/>
          <w:i w:val="0"/>
          <w:sz w:val="24"/>
        </w:rPr>
        <w:t>• The Prism Forest Plot offers an intuitive visual diagnostic that can be adopted in any systematic review to reveal whether studies being pooled have comparable informational structures.</w:t>
      </w:r>
    </w:p>
    <w:p>
      <w:pPr>
        <w:spacing w:line="480" w:lineRule="auto"/>
      </w:pPr>
      <w:r>
        <w:rPr>
          <w:rFonts w:ascii="Times New Roman" w:hAnsi="Times New Roman"/>
          <w:b w:val="0"/>
          <w:i w:val="0"/>
          <w:sz w:val="24"/>
        </w:rPr>
        <w:t>• ICR discrepancy provides a new criterion for assessing study comparability in evidence synthesis guidelines, potentially informing GRADE certainty assessments and Cochrane review protocols.</w:t>
      </w:r>
    </w:p>
    <w:p>
      <w:r>
        <w:br w:type="page"/>
      </w:r>
    </w:p>
    <w:p>
      <w:pPr>
        <w:pStyle w:val="Heading1"/>
      </w:pPr>
      <w:r>
        <w:rPr>
          <w:rFonts w:ascii="Times New Roman" w:hAnsi="Times New Roman"/>
          <w:color w:val="000000"/>
        </w:rPr>
        <w:t>Introduction</w:t>
      </w:r>
    </w:p>
    <w:p>
      <w:pPr>
        <w:spacing w:line="480" w:lineRule="auto"/>
      </w:pPr>
      <w:r>
        <w:rPr>
          <w:rFonts w:ascii="Times New Roman" w:hAnsi="Times New Roman"/>
          <w:b w:val="0"/>
          <w:i w:val="0"/>
          <w:sz w:val="24"/>
        </w:rPr>
        <w:t>Randomized controlled trials (RCTs) are the gold standard for evaluating treatment efficacy. Each RCT collects comprehensive patient-level data: demographic variables, baseline laboratory values, comorbidities, concomitant medications, and multiple outcome measures. A typical RCT may record 10-100+ variables per participant. Yet when these studies are synthesized through meta-analysis, the pooling is performed on a single endpoint (or a small number of endpoints), reducing each study's rich dataset to a single effect size estimate.</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This raises a fundamental question: does the endpoint carry the same informational weight in every study? If Study A measures 10 variables and the endpoint is one of them (representing 10% of the data dimensionality), while Study B measures 50 variables with the same endpoint (representing 2% of the data dimensionality), are these effect sizes truly comparable for pooling?</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Standard meta-analysis assesses between-study heterogeneity using Cochran's Q statistic and the I-squared index [1]. These measures quantify the proportion of variability in effect estimates that is due to true differences rather than sampling error. However, they do not account for differences in the informational context from which the endpoint was drawn. Sources of heterogeneity are typically attributed to clinical diversity (different populations, interventions, comparators), methodological diversity (study design, risk of bias), and statistical heterogeneity (unexplained variation). We propose that structural diversity -- differences in the data dimensionality and the endpoint's role within each study's data space -- represents an additional, previously unrecognized source of heterogeneity.</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We introduce the LINKO (Latent Information Normalization for Key Outcomes) framework, centered on the Information Contribution Ratio (ICR) as a measure of how much of a study's total information is captured by its endpoint variables. We develop two complementary approaches: (1) a variance-based approach (ICR_v) computable from published Table 1 summary statistics, making retrospective analysis feasible for any published RCT; and (2) a PCA-based approach (ICR_pca) that captures the full covariance structure when individual patient data (IPD) are available. We also introduce the Prism Forest Plot, a novel visualization that extends the standard forest plot by encoding ICR information through color and size dimensions.</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We hypothesize that when studies contributing to a meta-analysis have similar ICR values (low ICR Discrepancy, ICRD), the meta-analysis will exhibit lower heterogeneity. Conversely, when ICR varies substantially across studies (high ICRD), heterogeneity may increase because the endpoint captures different fractions of the total treatment effect in different studies.</w:t>
      </w:r>
    </w:p>
    <w:p>
      <w:r>
        <w:br w:type="page"/>
      </w:r>
    </w:p>
    <w:p>
      <w:pPr>
        <w:pStyle w:val="Heading1"/>
      </w:pPr>
      <w:r>
        <w:rPr>
          <w:rFonts w:ascii="Times New Roman" w:hAnsi="Times New Roman"/>
          <w:color w:val="000000"/>
        </w:rPr>
        <w:t>Methods</w:t>
      </w:r>
    </w:p>
    <w:p>
      <w:pPr>
        <w:pStyle w:val="Heading2"/>
      </w:pPr>
      <w:r>
        <w:rPr>
          <w:rFonts w:ascii="Times New Roman" w:hAnsi="Times New Roman"/>
          <w:color w:val="000000"/>
        </w:rPr>
        <w:t>Mathematical framework</w:t>
      </w:r>
    </w:p>
    <w:p>
      <w:pPr>
        <w:pStyle w:val="Heading3"/>
      </w:pPr>
      <w:r>
        <w:rPr>
          <w:rFonts w:ascii="Times New Roman" w:hAnsi="Times New Roman"/>
          <w:color w:val="000000"/>
        </w:rPr>
        <w:t>Variance-based ICR (Approach 1: ICR_v)</w:t>
      </w:r>
    </w:p>
    <w:p>
      <w:pPr>
        <w:spacing w:line="480" w:lineRule="auto"/>
      </w:pPr>
      <w:r>
        <w:rPr>
          <w:rFonts w:ascii="Times New Roman" w:hAnsi="Times New Roman"/>
          <w:b w:val="0"/>
          <w:i w:val="0"/>
          <w:sz w:val="24"/>
        </w:rPr>
        <w:t>For a study with D measured variables, the standardized ICR is defined as:</w:t>
      </w:r>
    </w:p>
    <w:p>
      <w:pPr>
        <w:spacing w:line="480" w:lineRule="auto"/>
      </w:pPr>
      <w:r>
        <w:rPr>
          <w:rFonts w:ascii="Times New Roman" w:hAnsi="Times New Roman"/>
          <w:b w:val="0"/>
          <w:i/>
          <w:sz w:val="24"/>
        </w:rPr>
        <w:t xml:space="preserve">    ICR_std = d / D</w:t>
      </w:r>
    </w:p>
    <w:p>
      <w:pPr>
        <w:spacing w:line="480" w:lineRule="auto"/>
      </w:pPr>
      <w:r>
        <w:rPr>
          <w:rFonts w:ascii="Times New Roman" w:hAnsi="Times New Roman"/>
          <w:b w:val="0"/>
          <w:i w:val="0"/>
          <w:sz w:val="24"/>
        </w:rPr>
        <w:t>where d is the number of endpoint variables and D is the total number of variables. Under standardization (each variable scaled to unit variance), this represents the fraction of the data space occupied by the endpoint.</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The raw variance-based ICR captures scale-dependent information:</w:t>
      </w:r>
    </w:p>
    <w:p>
      <w:pPr>
        <w:spacing w:line="480" w:lineRule="auto"/>
      </w:pPr>
      <w:r>
        <w:rPr>
          <w:rFonts w:ascii="Times New Roman" w:hAnsi="Times New Roman"/>
          <w:b w:val="0"/>
          <w:i/>
          <w:sz w:val="24"/>
        </w:rPr>
        <w:t xml:space="preserve">    ICR_raw = SUM(Var(X_j) for j in E) / SUM(Var(X_j) for j=1..D)</w:t>
      </w:r>
    </w:p>
    <w:p>
      <w:pPr>
        <w:spacing w:line="480" w:lineRule="auto"/>
      </w:pPr>
      <w:r>
        <w:rPr>
          <w:rFonts w:ascii="Times New Roman" w:hAnsi="Times New Roman"/>
          <w:b w:val="0"/>
          <w:i w:val="0"/>
          <w:sz w:val="24"/>
        </w:rPr>
        <w:t>where E is the set of endpoint variables. For continuous variables, the pooled variance is reconstructed from group means, standard deviations, and sample sizes reported in Table 1. For binary variables, the variance is p(1-p). This allows retrospective ICR computation for any published RCT without requiring individual patient data.</w:t>
      </w:r>
    </w:p>
    <w:p>
      <w:pPr>
        <w:pStyle w:val="Heading3"/>
      </w:pPr>
      <w:r>
        <w:rPr>
          <w:rFonts w:ascii="Times New Roman" w:hAnsi="Times New Roman"/>
          <w:color w:val="000000"/>
        </w:rPr>
        <w:t>PCA-based ICR (Approach 2: ICR_pca)</w:t>
      </w:r>
    </w:p>
    <w:p>
      <w:pPr>
        <w:spacing w:line="480" w:lineRule="auto"/>
      </w:pPr>
      <w:r>
        <w:rPr>
          <w:rFonts w:ascii="Times New Roman" w:hAnsi="Times New Roman"/>
          <w:b w:val="0"/>
          <w:i w:val="0"/>
          <w:sz w:val="24"/>
        </w:rPr>
        <w:t>When individual patient data (IPD) are available, a more refined measure uses principal component analysis to capture the full covariance structure. We implement two PCA-based methods:</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Loading-based method: </w:t>
      </w:r>
      <w:r>
        <w:rPr>
          <w:rFonts w:ascii="Times New Roman" w:hAnsi="Times New Roman"/>
          <w:sz w:val="24"/>
        </w:rPr>
        <w:t>Identifies principal components (PCs) where the endpoint variable has an absolute loading exceeding a threshold (|a_jk| &gt;= 0.3), then sums their explained variance ratios:</w:t>
      </w:r>
    </w:p>
    <w:p>
      <w:pPr>
        <w:spacing w:line="480" w:lineRule="auto"/>
      </w:pPr>
      <w:r>
        <w:rPr>
          <w:rFonts w:ascii="Times New Roman" w:hAnsi="Times New Roman"/>
          <w:b w:val="0"/>
          <w:i/>
          <w:sz w:val="24"/>
        </w:rPr>
        <w:t xml:space="preserve">    ICR_pca_loading = SUM(lambda_k / SUM(lambda) for k in S_E)</w:t>
      </w:r>
    </w:p>
    <w:p>
      <w:pPr>
        <w:spacing w:line="480" w:lineRule="auto"/>
      </w:pPr>
      <w:r>
        <w:rPr>
          <w:rFonts w:ascii="Times New Roman" w:hAnsi="Times New Roman"/>
          <w:b w:val="0"/>
          <w:i w:val="0"/>
          <w:sz w:val="24"/>
        </w:rPr>
        <w:t>where S_E is the set of endpoint-dominant principal components.</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Regression-based method: </w:t>
      </w:r>
      <w:r>
        <w:rPr>
          <w:rFonts w:ascii="Times New Roman" w:hAnsi="Times New Roman"/>
          <w:sz w:val="24"/>
        </w:rPr>
        <w:t>Performs PCA on predictor variables only (excluding the endpoint), then regresses the endpoint on all PC scores. Since PCs are orthogonal, the regression coefficient for each PC is beta_k = Cov(Y, PC_k) / Var(PC_k). The ICR is computed as:</w:t>
      </w:r>
    </w:p>
    <w:p>
      <w:pPr>
        <w:spacing w:line="480" w:lineRule="auto"/>
      </w:pPr>
      <w:r>
        <w:rPr>
          <w:rFonts w:ascii="Times New Roman" w:hAnsi="Times New Roman"/>
          <w:b w:val="0"/>
          <w:i/>
          <w:sz w:val="24"/>
        </w:rPr>
        <w:t xml:space="preserve">    ICR_pca_reg = SUM(beta_k^2 * lambda_k) / (SUM(lambda_k) + Var(Y))</w:t>
      </w:r>
    </w:p>
    <w:p>
      <w:pPr>
        <w:spacing w:line="480" w:lineRule="auto"/>
      </w:pPr>
      <w:r>
        <w:rPr>
          <w:rFonts w:ascii="Times New Roman" w:hAnsi="Times New Roman"/>
          <w:b w:val="0"/>
          <w:i w:val="0"/>
          <w:sz w:val="24"/>
        </w:rPr>
        <w:t>This measures the proportion of total data information (predictor eigenvalues plus endpoint variance) that "flows to" the endpoint through the principal component structure.</w:t>
      </w:r>
    </w:p>
    <w:p>
      <w:pPr>
        <w:pStyle w:val="Heading3"/>
      </w:pPr>
      <w:r>
        <w:rPr>
          <w:rFonts w:ascii="Times New Roman" w:hAnsi="Times New Roman"/>
          <w:color w:val="000000"/>
        </w:rPr>
        <w:t>ICR Discrepancy (ICRD)</w:t>
      </w:r>
    </w:p>
    <w:p>
      <w:pPr>
        <w:spacing w:line="480" w:lineRule="auto"/>
      </w:pPr>
      <w:r>
        <w:rPr>
          <w:rFonts w:ascii="Times New Roman" w:hAnsi="Times New Roman"/>
          <w:b w:val="0"/>
          <w:i w:val="0"/>
          <w:sz w:val="24"/>
        </w:rPr>
        <w:t>For a set of K studies in a meta-analysis, the ICR Discrepancy is:</w:t>
      </w:r>
    </w:p>
    <w:p>
      <w:pPr>
        <w:spacing w:line="480" w:lineRule="auto"/>
      </w:pPr>
      <w:r>
        <w:rPr>
          <w:rFonts w:ascii="Times New Roman" w:hAnsi="Times New Roman"/>
          <w:b w:val="0"/>
          <w:i/>
          <w:sz w:val="24"/>
        </w:rPr>
        <w:t xml:space="preserve">    ICRD = max(ICR_i) - min(ICR_i),  i = 1, ..., K</w:t>
      </w:r>
    </w:p>
    <w:p>
      <w:pPr>
        <w:spacing w:line="480" w:lineRule="auto"/>
      </w:pPr>
      <w:r>
        <w:rPr>
          <w:rFonts w:ascii="Times New Roman" w:hAnsi="Times New Roman"/>
          <w:b w:val="0"/>
          <w:i w:val="0"/>
          <w:sz w:val="24"/>
        </w:rPr>
        <w:t>We also compute the coefficient of variation of ICR (ICR_CV) as a complementary measure.</w:t>
      </w:r>
    </w:p>
    <w:p>
      <w:pPr>
        <w:pStyle w:val="Heading2"/>
      </w:pPr>
      <w:r>
        <w:rPr>
          <w:rFonts w:ascii="Times New Roman" w:hAnsi="Times New Roman"/>
          <w:color w:val="000000"/>
        </w:rPr>
        <w:t>Simulation study design (ADEMP framework)</w:t>
      </w:r>
    </w:p>
    <w:p>
      <w:pPr>
        <w:spacing w:line="480" w:lineRule="auto"/>
      </w:pPr>
      <w:r>
        <w:rPr>
          <w:rFonts w:ascii="Times New Roman" w:hAnsi="Times New Roman"/>
          <w:b w:val="0"/>
          <w:i w:val="0"/>
          <w:sz w:val="24"/>
        </w:rPr>
        <w:t>We report the simulation study following the ADEMP framework [3,4] for transparent reporting of simulation studies evaluating statistical methods.</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Aims: </w:t>
      </w:r>
      <w:r>
        <w:rPr>
          <w:rFonts w:ascii="Times New Roman" w:hAnsi="Times New Roman"/>
          <w:sz w:val="24"/>
        </w:rPr>
        <w:t>To evaluate whether heterogeneity in ICR across studies affects the statistical heterogeneity (I-squared) of meta-analytic pooling, and whether adding studies with divergent ICR to an initially homogeneous set of studies increases I-squared.</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Data-generating mechanisms: </w:t>
      </w:r>
      <w:r>
        <w:rPr>
          <w:rFonts w:ascii="Times New Roman" w:hAnsi="Times New Roman"/>
          <w:sz w:val="24"/>
        </w:rPr>
        <w:t>Each simulated RCT generates multivariate normal data with D dimensions, where the treatment has a direct effect (delta = 0.5, standardized) on the endpoint (dimension 0) and spillover effects on other dimensions proportional to their correlation with the endpoint. The spillover fraction was set to 0.3. The correlation matrix uses an exponential decay structure: rho_ij = 0.5^|i-j|. Each study has n = 200 subjects per arm.</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Three scenarios were simulated:</w:t>
      </w:r>
    </w:p>
    <w:p>
      <w:pPr>
        <w:spacing w:line="480" w:lineRule="auto"/>
      </w:pPr>
      <w:r>
        <w:rPr>
          <w:rFonts w:ascii="Times New Roman" w:hAnsi="Times New Roman"/>
          <w:b w:val="0"/>
          <w:i w:val="0"/>
          <w:sz w:val="24"/>
        </w:rPr>
        <w:t>Scenario A (Uniform ICR): 10 studies, each with D = 20. ICR_std = 1/20 = 0.05.</w:t>
      </w:r>
    </w:p>
    <w:p>
      <w:pPr>
        <w:spacing w:line="480" w:lineRule="auto"/>
      </w:pPr>
      <w:r>
        <w:rPr>
          <w:rFonts w:ascii="Times New Roman" w:hAnsi="Times New Roman"/>
          <w:b w:val="0"/>
          <w:i w:val="0"/>
          <w:sz w:val="24"/>
        </w:rPr>
        <w:t>Scenario B (Heterogeneous ICR): 10 studies with D from {5, 10, 20, 40, 80}. ICR_std varies 0.0125-0.20.</w:t>
      </w:r>
    </w:p>
    <w:p>
      <w:pPr>
        <w:spacing w:line="480" w:lineRule="auto"/>
      </w:pPr>
      <w:r>
        <w:rPr>
          <w:rFonts w:ascii="Times New Roman" w:hAnsi="Times New Roman"/>
          <w:b w:val="0"/>
          <w:i w:val="0"/>
          <w:sz w:val="24"/>
        </w:rPr>
        <w:t>Scenario C (Sequential with ICR Shift): 15 studies. First 5 with D = 20, then 10 with D from {5, 10, 40, 60, 80}.</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Estimands: </w:t>
      </w:r>
      <w:r>
        <w:rPr>
          <w:rFonts w:ascii="Times New Roman" w:hAnsi="Times New Roman"/>
          <w:sz w:val="24"/>
        </w:rPr>
        <w:t>The primary estimand is the I-squared heterogeneity statistic from DerSimonian-Laird random-effects meta-analysis. Secondary: pooled effect, tau-squared, correlation between ICRD and I-squared.</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Methods: </w:t>
      </w:r>
      <w:r>
        <w:rPr>
          <w:rFonts w:ascii="Times New Roman" w:hAnsi="Times New Roman"/>
          <w:sz w:val="24"/>
        </w:rPr>
        <w:t>DerSimonian-Laird random-effects meta-analysis [5]. For Scenario C, sequential (cumulative) meta-analysis.</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Performance measures: </w:t>
      </w:r>
      <w:r>
        <w:rPr>
          <w:rFonts w:ascii="Times New Roman" w:hAnsi="Times New Roman"/>
          <w:sz w:val="24"/>
        </w:rPr>
        <w:t>Mean I-squared (SD) across 100 iterations, mean ICRD, Pearson correlation between ICRD and I-squared, mean pooled effect (bias from true delta = 0.5), proportion of simulations where adding heterogeneous-ICR studies increased I-squared.</w:t>
      </w:r>
    </w:p>
    <w:p>
      <w:pPr>
        <w:pStyle w:val="Heading2"/>
      </w:pPr>
      <w:r>
        <w:rPr>
          <w:rFonts w:ascii="Times New Roman" w:hAnsi="Times New Roman"/>
          <w:color w:val="000000"/>
        </w:rPr>
        <w:t>Real-world data analysis</w:t>
      </w:r>
    </w:p>
    <w:p>
      <w:pPr>
        <w:spacing w:line="480" w:lineRule="auto"/>
      </w:pPr>
      <w:r>
        <w:rPr>
          <w:rFonts w:ascii="Times New Roman" w:hAnsi="Times New Roman"/>
          <w:b w:val="0"/>
          <w:i w:val="0"/>
          <w:sz w:val="24"/>
        </w:rPr>
        <w:t>We selected two well-known meta-analysis domains:</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Statin therapy for cardiovascular prevention: </w:t>
      </w:r>
      <w:r>
        <w:rPr>
          <w:rFonts w:ascii="Times New Roman" w:hAnsi="Times New Roman"/>
          <w:sz w:val="24"/>
        </w:rPr>
        <w:t>Five landmark RCTs (4S, WOSCOPS, CARE, LIPID, AFCAPS/TexCAPS) [6-10] with consistent mortality benefit. Similar variable sets (D = 10-11).</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Intensive glucose control in type 2 diabetes: </w:t>
      </w:r>
      <w:r>
        <w:rPr>
          <w:rFonts w:ascii="Times New Roman" w:hAnsi="Times New Roman"/>
          <w:sz w:val="24"/>
        </w:rPr>
        <w:t>Four major RCTs (UKPDS 33, ACCORD, ADVANCE, VADT) [11-14] where heterogeneity emerged. Different variable counts (D = 8-13).</w:t>
      </w:r>
    </w:p>
    <w:p>
      <w:pPr>
        <w:pStyle w:val="Heading2"/>
      </w:pPr>
      <w:r>
        <w:rPr>
          <w:rFonts w:ascii="Times New Roman" w:hAnsi="Times New Roman"/>
          <w:color w:val="000000"/>
        </w:rPr>
        <w:t>PCA-based ICR validation (individual patient data)</w:t>
      </w:r>
    </w:p>
    <w:p>
      <w:pPr>
        <w:spacing w:line="480" w:lineRule="auto"/>
      </w:pPr>
      <w:r>
        <w:rPr>
          <w:rFonts w:ascii="Times New Roman" w:hAnsi="Times New Roman"/>
          <w:b w:val="0"/>
          <w:i w:val="0"/>
          <w:sz w:val="24"/>
        </w:rPr>
        <w:t>We used the International Stroke Trial (IST) dataset [15,16], comprising 19,435 patients across 36 countries. We encoded 25 analysis variables and treated the 8 largest country cohorts (UK, Italy, Switzerland, Poland, Netherlands, Sweden, Australia, Argentina; n = 545-5,787) as independent "sub-studies." Leave-one-out sensitivity analysis assessed robustness by iteratively excluding each country.</w:t>
      </w:r>
    </w:p>
    <w:p>
      <w:pPr>
        <w:pStyle w:val="Heading2"/>
      </w:pPr>
      <w:r>
        <w:rPr>
          <w:rFonts w:ascii="Times New Roman" w:hAnsi="Times New Roman"/>
          <w:color w:val="000000"/>
        </w:rPr>
        <w:t>LINKO Prism Forest Plot</w:t>
      </w:r>
    </w:p>
    <w:p>
      <w:pPr>
        <w:spacing w:line="480" w:lineRule="auto"/>
      </w:pPr>
      <w:r>
        <w:rPr>
          <w:rFonts w:ascii="Times New Roman" w:hAnsi="Times New Roman"/>
          <w:b w:val="0"/>
          <w:i w:val="0"/>
          <w:sz w:val="24"/>
        </w:rPr>
        <w:t>We developed the Prism Forest Plot as a novel visualization extending the standard forest plot. Just as a prism decomposes white light into its constituent spectrum, the Prism Forest Plot decomposes the standard forest plot to reveal the hidden ICR dimension:</w:t>
      </w:r>
    </w:p>
    <w:p>
      <w:pPr>
        <w:spacing w:line="480" w:lineRule="auto"/>
      </w:pPr>
      <w:r>
        <w:rPr>
          <w:rFonts w:ascii="Times New Roman" w:hAnsi="Times New Roman"/>
          <w:b w:val="0"/>
          <w:i w:val="0"/>
          <w:sz w:val="24"/>
        </w:rPr>
        <w:t>- Color of each CI bar encodes ICR value (warm red = high ICR, cool blue = low ICR)</w:t>
      </w:r>
    </w:p>
    <w:p>
      <w:pPr>
        <w:spacing w:line="480" w:lineRule="auto"/>
      </w:pPr>
      <w:r>
        <w:rPr>
          <w:rFonts w:ascii="Times New Roman" w:hAnsi="Times New Roman"/>
          <w:b w:val="0"/>
          <w:i w:val="0"/>
          <w:sz w:val="24"/>
        </w:rPr>
        <w:t>- Point size encodes a secondary ICR measure (e.g., ICR_pca_reg) when available</w:t>
      </w:r>
    </w:p>
    <w:p>
      <w:pPr>
        <w:spacing w:line="480" w:lineRule="auto"/>
      </w:pPr>
      <w:r>
        <w:rPr>
          <w:rFonts w:ascii="Times New Roman" w:hAnsi="Times New Roman"/>
          <w:b w:val="0"/>
          <w:i w:val="0"/>
          <w:sz w:val="24"/>
        </w:rPr>
        <w:t>- A side panel displays ICR bar charts aligned with each study row</w:t>
      </w:r>
    </w:p>
    <w:p>
      <w:pPr>
        <w:pStyle w:val="Heading2"/>
      </w:pPr>
      <w:r>
        <w:rPr>
          <w:rFonts w:ascii="Times New Roman" w:hAnsi="Times New Roman"/>
          <w:color w:val="000000"/>
        </w:rPr>
        <w:t>Early convergence analysis</w:t>
      </w:r>
    </w:p>
    <w:p>
      <w:pPr>
        <w:spacing w:line="480" w:lineRule="auto"/>
      </w:pPr>
      <w:r>
        <w:rPr>
          <w:rFonts w:ascii="Times New Roman" w:hAnsi="Times New Roman"/>
          <w:b w:val="0"/>
          <w:i w:val="0"/>
          <w:sz w:val="24"/>
        </w:rPr>
        <w:t>To investigate whether ICR-guided study selection could achieve conclusive results faster, we performed Monte Carlo simulation (500 iterations, 15 studies, true delta = 0.2, n = 80 per arm) comparing three strategies: Random order, ICR-matched first (D closest to 20), and LINKO optimized (ICR closest to median). We tracked studies needed for 95% CI excluding zero and I-squared &lt; 25%.</w:t>
      </w:r>
    </w:p>
    <w:p>
      <w:pPr>
        <w:pStyle w:val="Heading2"/>
      </w:pPr>
      <w:r>
        <w:rPr>
          <w:rFonts w:ascii="Times New Roman" w:hAnsi="Times New Roman"/>
          <w:color w:val="000000"/>
        </w:rPr>
        <w:t>Software</w:t>
      </w:r>
    </w:p>
    <w:p>
      <w:pPr>
        <w:spacing w:line="480" w:lineRule="auto"/>
      </w:pPr>
      <w:r>
        <w:rPr>
          <w:rFonts w:ascii="Times New Roman" w:hAnsi="Times New Roman"/>
          <w:b w:val="0"/>
          <w:i w:val="0"/>
          <w:sz w:val="24"/>
        </w:rPr>
        <w:t>All analyses were implemented in Python 3.x using NumPy/SciPy, pandas, scikit-learn, and matplotlib. Source code: https://github.com/bougtoir/wip/tree/devin/1774353301-icr-paper/icr_paper</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Simulation results</w:t>
      </w:r>
    </w:p>
    <w:p>
      <w:pPr>
        <w:spacing w:line="480" w:lineRule="auto"/>
      </w:pPr>
      <w:r>
        <w:rPr>
          <w:rFonts w:ascii="Times New Roman" w:hAnsi="Times New Roman"/>
          <w:b/>
          <w:i w:val="0"/>
          <w:sz w:val="24"/>
        </w:rPr>
        <w:t>Scenario A vs B: Effect of ICR heterogeneity</w:t>
      </w:r>
    </w:p>
    <w:p>
      <w:pPr>
        <w:spacing w:line="480" w:lineRule="auto"/>
      </w:pPr>
      <w:r>
        <w:rPr>
          <w:rFonts w:ascii="Times New Roman" w:hAnsi="Times New Roman"/>
          <w:b w:val="0"/>
          <w:i w:val="0"/>
          <w:sz w:val="24"/>
        </w:rPr>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0"/>
              </w:rPr>
              <w:t>Metric</w:t>
            </w:r>
          </w:p>
        </w:tc>
        <w:tc>
          <w:tcPr>
            <w:tcW w:type="dxa" w:w="3135"/>
          </w:tcPr>
          <w:p>
            <w:r>
              <w:rPr>
                <w:rFonts w:ascii="Times New Roman" w:hAnsi="Times New Roman"/>
                <w:b/>
                <w:sz w:val="20"/>
              </w:rPr>
              <w:t>Scenario A (Uniform ICR)</w:t>
            </w:r>
          </w:p>
        </w:tc>
        <w:tc>
          <w:tcPr>
            <w:tcW w:type="dxa" w:w="3135"/>
          </w:tcPr>
          <w:p>
            <w:r>
              <w:rPr>
                <w:rFonts w:ascii="Times New Roman" w:hAnsi="Times New Roman"/>
                <w:b/>
                <w:sz w:val="20"/>
              </w:rPr>
              <w:t>Scenario B (Heterogeneous ICR)</w:t>
            </w:r>
          </w:p>
        </w:tc>
      </w:tr>
      <w:tr>
        <w:tc>
          <w:tcPr>
            <w:tcW w:type="dxa" w:w="3135"/>
          </w:tcPr>
          <w:p>
            <w:r>
              <w:rPr>
                <w:rFonts w:ascii="Times New Roman" w:hAnsi="Times New Roman"/>
                <w:sz w:val="20"/>
              </w:rPr>
              <w:t>Mean I-squared (SD)</w:t>
            </w:r>
          </w:p>
        </w:tc>
        <w:tc>
          <w:tcPr>
            <w:tcW w:type="dxa" w:w="3135"/>
          </w:tcPr>
          <w:p>
            <w:r>
              <w:rPr>
                <w:rFonts w:ascii="Times New Roman" w:hAnsi="Times New Roman"/>
                <w:sz w:val="20"/>
              </w:rPr>
              <w:t>11.0% (17.2)</w:t>
            </w:r>
          </w:p>
        </w:tc>
        <w:tc>
          <w:tcPr>
            <w:tcW w:type="dxa" w:w="3135"/>
          </w:tcPr>
          <w:p>
            <w:r>
              <w:rPr>
                <w:rFonts w:ascii="Times New Roman" w:hAnsi="Times New Roman"/>
                <w:sz w:val="20"/>
              </w:rPr>
              <w:t>11.7% (16.0)</w:t>
            </w:r>
          </w:p>
        </w:tc>
      </w:tr>
      <w:tr>
        <w:tc>
          <w:tcPr>
            <w:tcW w:type="dxa" w:w="3135"/>
          </w:tcPr>
          <w:p>
            <w:r>
              <w:rPr>
                <w:rFonts w:ascii="Times New Roman" w:hAnsi="Times New Roman"/>
                <w:sz w:val="20"/>
              </w:rPr>
              <w:t>Mean ICRD (SD)</w:t>
            </w:r>
          </w:p>
        </w:tc>
        <w:tc>
          <w:tcPr>
            <w:tcW w:type="dxa" w:w="3135"/>
          </w:tcPr>
          <w:p>
            <w:r>
              <w:rPr>
                <w:rFonts w:ascii="Times New Roman" w:hAnsi="Times New Roman"/>
                <w:sz w:val="20"/>
              </w:rPr>
              <w:t>0.0000</w:t>
            </w:r>
          </w:p>
        </w:tc>
        <w:tc>
          <w:tcPr>
            <w:tcW w:type="dxa" w:w="3135"/>
          </w:tcPr>
          <w:p>
            <w:r>
              <w:rPr>
                <w:rFonts w:ascii="Times New Roman" w:hAnsi="Times New Roman"/>
                <w:sz w:val="20"/>
              </w:rPr>
              <w:t>0.1753 (0.031)</w:t>
            </w:r>
          </w:p>
        </w:tc>
      </w:tr>
      <w:tr>
        <w:tc>
          <w:tcPr>
            <w:tcW w:type="dxa" w:w="3135"/>
          </w:tcPr>
          <w:p>
            <w:r>
              <w:rPr>
                <w:rFonts w:ascii="Times New Roman" w:hAnsi="Times New Roman"/>
                <w:sz w:val="20"/>
              </w:rPr>
              <w:t>Mean Pooled Effect</w:t>
            </w:r>
          </w:p>
        </w:tc>
        <w:tc>
          <w:tcPr>
            <w:tcW w:type="dxa" w:w="3135"/>
          </w:tcPr>
          <w:p>
            <w:r>
              <w:rPr>
                <w:rFonts w:ascii="Times New Roman" w:hAnsi="Times New Roman"/>
                <w:sz w:val="20"/>
              </w:rPr>
              <w:t>0.500</w:t>
            </w:r>
          </w:p>
        </w:tc>
        <w:tc>
          <w:tcPr>
            <w:tcW w:type="dxa" w:w="3135"/>
          </w:tcPr>
          <w:p>
            <w:r>
              <w:rPr>
                <w:rFonts w:ascii="Times New Roman" w:hAnsi="Times New Roman"/>
                <w:sz w:val="20"/>
              </w:rPr>
              <w:t>0.496</w:t>
            </w:r>
          </w:p>
        </w:tc>
      </w:tr>
      <w:tr>
        <w:tc>
          <w:tcPr>
            <w:tcW w:type="dxa" w:w="3135"/>
          </w:tcPr>
          <w:p>
            <w:r>
              <w:rPr>
                <w:rFonts w:ascii="Times New Roman" w:hAnsi="Times New Roman"/>
                <w:sz w:val="20"/>
              </w:rPr>
              <w:t>Effect Bias</w:t>
            </w:r>
          </w:p>
        </w:tc>
        <w:tc>
          <w:tcPr>
            <w:tcW w:type="dxa" w:w="3135"/>
          </w:tcPr>
          <w:p>
            <w:r>
              <w:rPr>
                <w:rFonts w:ascii="Times New Roman" w:hAnsi="Times New Roman"/>
                <w:sz w:val="20"/>
              </w:rPr>
              <w:t>+0.0004</w:t>
            </w:r>
          </w:p>
        </w:tc>
        <w:tc>
          <w:tcPr>
            <w:tcW w:type="dxa" w:w="3135"/>
          </w:tcPr>
          <w:p>
            <w:r>
              <w:rPr>
                <w:rFonts w:ascii="Times New Roman" w:hAnsi="Times New Roman"/>
                <w:sz w:val="20"/>
              </w:rPr>
              <w:t>-0.0042</w:t>
            </w:r>
          </w:p>
        </w:tc>
      </w:tr>
    </w:tbl>
    <w:p>
      <w:pPr>
        <w:spacing w:line="480" w:lineRule="auto"/>
      </w:pPr>
      <w:r>
        <w:rPr>
          <w:rFonts w:ascii="Times New Roman" w:hAnsi="Times New Roman"/>
          <w:b w:val="0"/>
          <w:i/>
          <w:sz w:val="24"/>
        </w:rPr>
        <w:t>Table 1. Simulation results comparing uniform and heterogeneous ICR scenarios (100 iterations each).</w:t>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Scenario C: Sequential meta-analysis</w:t>
      </w:r>
    </w:p>
    <w:p>
      <w:pPr>
        <w:spacing w:line="480" w:lineRule="auto"/>
      </w:pPr>
      <w:r>
        <w:rPr>
          <w:rFonts w:ascii="Times New Roman" w:hAnsi="Times New Roman"/>
          <w:b w:val="0"/>
          <w:i w:val="0"/>
          <w:sz w:val="24"/>
        </w:rPr>
        <w:t>Adding studies with heterogeneous ICR after uniform-ICR studies increased I-squared in 27% of simulations.</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3343934"/>
            <wp:docPr id="1" name="Picture 1"/>
            <wp:cNvGraphicFramePr>
              <a:graphicFrameLocks noChangeAspect="1"/>
            </wp:cNvGraphicFramePr>
            <a:graphic>
              <a:graphicData uri="http://schemas.openxmlformats.org/drawingml/2006/picture">
                <pic:pic>
                  <pic:nvPicPr>
                    <pic:cNvPr id="0" name="fig1_scenario_comparison.png"/>
                    <pic:cNvPicPr/>
                  </pic:nvPicPr>
                  <pic:blipFill>
                    <a:blip r:embed="rId9"/>
                    <a:stretch>
                      <a:fillRect/>
                    </a:stretch>
                  </pic:blipFill>
                  <pic:spPr>
                    <a:xfrm>
                      <a:off x="0" y="0"/>
                      <a:ext cx="5029200" cy="3343934"/>
                    </a:xfrm>
                    <a:prstGeom prst="rect"/>
                  </pic:spPr>
                </pic:pic>
              </a:graphicData>
            </a:graphic>
          </wp:inline>
        </w:drawing>
      </w:r>
    </w:p>
    <w:p>
      <w:pPr>
        <w:spacing w:line="480" w:lineRule="auto"/>
      </w:pPr>
      <w:r>
        <w:rPr>
          <w:rFonts w:ascii="Times New Roman" w:hAnsi="Times New Roman"/>
          <w:b w:val="0"/>
          <w:i/>
          <w:sz w:val="24"/>
        </w:rPr>
        <w:t>Figure 1. Comparison of Scenario A and B simulation results.</w:t>
      </w:r>
    </w:p>
    <w:p>
      <w:r>
        <w:drawing>
          <wp:inline xmlns:a="http://schemas.openxmlformats.org/drawingml/2006/main" xmlns:pic="http://schemas.openxmlformats.org/drawingml/2006/picture">
            <wp:extent cx="5029200" cy="1739185"/>
            <wp:docPr id="2" name="Picture 2"/>
            <wp:cNvGraphicFramePr>
              <a:graphicFrameLocks noChangeAspect="1"/>
            </wp:cNvGraphicFramePr>
            <a:graphic>
              <a:graphicData uri="http://schemas.openxmlformats.org/drawingml/2006/picture">
                <pic:pic>
                  <pic:nvPicPr>
                    <pic:cNvPr id="0" name="fig2_sequential_analysis.png"/>
                    <pic:cNvPicPr/>
                  </pic:nvPicPr>
                  <pic:blipFill>
                    <a:blip r:embed="rId10"/>
                    <a:stretch>
                      <a:fillRect/>
                    </a:stretch>
                  </pic:blipFill>
                  <pic:spPr>
                    <a:xfrm>
                      <a:off x="0" y="0"/>
                      <a:ext cx="5029200" cy="1739185"/>
                    </a:xfrm>
                    <a:prstGeom prst="rect"/>
                  </pic:spPr>
                </pic:pic>
              </a:graphicData>
            </a:graphic>
          </wp:inline>
        </w:drawing>
      </w:r>
    </w:p>
    <w:p>
      <w:pPr>
        <w:spacing w:line="480" w:lineRule="auto"/>
      </w:pPr>
      <w:r>
        <w:rPr>
          <w:rFonts w:ascii="Times New Roman" w:hAnsi="Times New Roman"/>
          <w:b w:val="0"/>
          <w:i/>
          <w:sz w:val="24"/>
        </w:rPr>
        <w:t>Figure 2. Sequential meta-analysis (Scenario C).</w:t>
      </w:r>
    </w:p>
    <w:p>
      <w:pPr>
        <w:pStyle w:val="Heading2"/>
      </w:pPr>
      <w:r>
        <w:rPr>
          <w:rFonts w:ascii="Times New Roman" w:hAnsi="Times New Roman"/>
          <w:color w:val="000000"/>
        </w:rPr>
        <w:t>Real-world results (Approach 1: Variance-based ICR)</w:t>
      </w:r>
    </w:p>
    <w:p>
      <w:pPr>
        <w:spacing w:line="480" w:lineRule="auto"/>
      </w:pPr>
      <w:r>
        <w:rPr>
          <w:rFonts w:ascii="Times New Roman" w:hAnsi="Times New Roman"/>
          <w:b/>
          <w:i w:val="0"/>
          <w:sz w:val="24"/>
        </w:rPr>
        <w:t>Statin therapy (stable meta-analysis)</w:t>
      </w:r>
    </w:p>
    <w:p>
      <w:pPr>
        <w:spacing w:line="480" w:lineRule="auto"/>
      </w:pPr>
      <w:r>
        <w:rPr>
          <w:rFonts w:ascii="Times New Roman" w:hAnsi="Times New Roman"/>
          <w:b w:val="0"/>
          <w:i w:val="0"/>
          <w:sz w:val="24"/>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Study</w:t>
            </w:r>
          </w:p>
        </w:tc>
        <w:tc>
          <w:tcPr>
            <w:tcW w:type="dxa" w:w="1881"/>
          </w:tcPr>
          <w:p>
            <w:r>
              <w:rPr>
                <w:rFonts w:ascii="Times New Roman" w:hAnsi="Times New Roman"/>
                <w:b/>
                <w:sz w:val="20"/>
              </w:rPr>
              <w:t>D</w:t>
            </w:r>
          </w:p>
        </w:tc>
        <w:tc>
          <w:tcPr>
            <w:tcW w:type="dxa" w:w="1881"/>
          </w:tcPr>
          <w:p>
            <w:r>
              <w:rPr>
                <w:rFonts w:ascii="Times New Roman" w:hAnsi="Times New Roman"/>
                <w:b/>
                <w:sz w:val="20"/>
              </w:rPr>
              <w:t>d</w:t>
            </w:r>
          </w:p>
        </w:tc>
        <w:tc>
          <w:tcPr>
            <w:tcW w:type="dxa" w:w="1881"/>
          </w:tcPr>
          <w:p>
            <w:r>
              <w:rPr>
                <w:rFonts w:ascii="Times New Roman" w:hAnsi="Times New Roman"/>
                <w:b/>
                <w:sz w:val="20"/>
              </w:rPr>
              <w:t>ICR_std</w:t>
            </w:r>
          </w:p>
        </w:tc>
        <w:tc>
          <w:tcPr>
            <w:tcW w:type="dxa" w:w="1881"/>
          </w:tcPr>
          <w:p>
            <w:r>
              <w:rPr>
                <w:rFonts w:ascii="Times New Roman" w:hAnsi="Times New Roman"/>
                <w:b/>
                <w:sz w:val="20"/>
              </w:rPr>
              <w:t>Effect Size</w:t>
            </w:r>
          </w:p>
        </w:tc>
      </w:tr>
      <w:tr>
        <w:tc>
          <w:tcPr>
            <w:tcW w:type="dxa" w:w="1881"/>
          </w:tcPr>
          <w:p>
            <w:r>
              <w:rPr>
                <w:rFonts w:ascii="Times New Roman" w:hAnsi="Times New Roman"/>
                <w:sz w:val="20"/>
              </w:rPr>
              <w:t>4S (1994)</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-0.370</w:t>
            </w:r>
          </w:p>
        </w:tc>
      </w:tr>
      <w:tr>
        <w:tc>
          <w:tcPr>
            <w:tcW w:type="dxa" w:w="1881"/>
          </w:tcPr>
          <w:p>
            <w:r>
              <w:rPr>
                <w:rFonts w:ascii="Times New Roman" w:hAnsi="Times New Roman"/>
                <w:sz w:val="20"/>
              </w:rPr>
              <w:t>WOSCOPS (1995)</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-0.250</w:t>
            </w:r>
          </w:p>
        </w:tc>
      </w:tr>
      <w:tr>
        <w:tc>
          <w:tcPr>
            <w:tcW w:type="dxa" w:w="1881"/>
          </w:tcPr>
          <w:p>
            <w:r>
              <w:rPr>
                <w:rFonts w:ascii="Times New Roman" w:hAnsi="Times New Roman"/>
                <w:sz w:val="20"/>
              </w:rPr>
              <w:t>CARE (1996)</w:t>
            </w:r>
          </w:p>
        </w:tc>
        <w:tc>
          <w:tcPr>
            <w:tcW w:type="dxa" w:w="1881"/>
          </w:tcPr>
          <w:p>
            <w:r>
              <w:rPr>
                <w:rFonts w:ascii="Times New Roman" w:hAnsi="Times New Roman"/>
                <w:sz w:val="20"/>
              </w:rPr>
              <w:t>11</w:t>
            </w:r>
          </w:p>
        </w:tc>
        <w:tc>
          <w:tcPr>
            <w:tcW w:type="dxa" w:w="1881"/>
          </w:tcPr>
          <w:p>
            <w:r>
              <w:rPr>
                <w:rFonts w:ascii="Times New Roman" w:hAnsi="Times New Roman"/>
                <w:sz w:val="20"/>
              </w:rPr>
              <w:t>1</w:t>
            </w:r>
          </w:p>
        </w:tc>
        <w:tc>
          <w:tcPr>
            <w:tcW w:type="dxa" w:w="1881"/>
          </w:tcPr>
          <w:p>
            <w:r>
              <w:rPr>
                <w:rFonts w:ascii="Times New Roman" w:hAnsi="Times New Roman"/>
                <w:sz w:val="20"/>
              </w:rPr>
              <w:t>0.091</w:t>
            </w:r>
          </w:p>
        </w:tc>
        <w:tc>
          <w:tcPr>
            <w:tcW w:type="dxa" w:w="1881"/>
          </w:tcPr>
          <w:p>
            <w:r>
              <w:rPr>
                <w:rFonts w:ascii="Times New Roman" w:hAnsi="Times New Roman"/>
                <w:sz w:val="20"/>
              </w:rPr>
              <w:t>-0.100</w:t>
            </w:r>
          </w:p>
        </w:tc>
      </w:tr>
      <w:tr>
        <w:tc>
          <w:tcPr>
            <w:tcW w:type="dxa" w:w="1881"/>
          </w:tcPr>
          <w:p>
            <w:r>
              <w:rPr>
                <w:rFonts w:ascii="Times New Roman" w:hAnsi="Times New Roman"/>
                <w:sz w:val="20"/>
              </w:rPr>
              <w:t>LIPID (1998)</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-0.250</w:t>
            </w:r>
          </w:p>
        </w:tc>
      </w:tr>
      <w:tr>
        <w:tc>
          <w:tcPr>
            <w:tcW w:type="dxa" w:w="1881"/>
          </w:tcPr>
          <w:p>
            <w:r>
              <w:rPr>
                <w:rFonts w:ascii="Times New Roman" w:hAnsi="Times New Roman"/>
                <w:sz w:val="20"/>
              </w:rPr>
              <w:t>AFCAPS/TexCAPS (1998)</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-0.110</w:t>
            </w:r>
          </w:p>
        </w:tc>
      </w:tr>
    </w:tbl>
    <w:p>
      <w:pPr>
        <w:spacing w:line="480" w:lineRule="auto"/>
      </w:pPr>
      <w:r>
        <w:rPr>
          <w:rFonts w:ascii="Times New Roman" w:hAnsi="Times New Roman"/>
          <w:b w:val="0"/>
          <w:i/>
          <w:sz w:val="24"/>
        </w:rPr>
        <w:t>Table 2. Statin therapy RCTs: ICR values and effect sizes.</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ICRD = 0.009, ICR CV = 0.041. Meta-analysis I-squared = 0.0%. Pooled effect: -0.251 [-0.363, -0.138].</w:t>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Intensive glucose control (heterogeneous meta-analysis)</w:t>
      </w:r>
    </w:p>
    <w:p>
      <w:pPr>
        <w:spacing w:line="480" w:lineRule="auto"/>
      </w:pPr>
      <w:r>
        <w:rPr>
          <w:rFonts w:ascii="Times New Roman" w:hAnsi="Times New Roman"/>
          <w:b w:val="0"/>
          <w:i w:val="0"/>
          <w:sz w:val="24"/>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Study</w:t>
            </w:r>
          </w:p>
        </w:tc>
        <w:tc>
          <w:tcPr>
            <w:tcW w:type="dxa" w:w="1881"/>
          </w:tcPr>
          <w:p>
            <w:r>
              <w:rPr>
                <w:rFonts w:ascii="Times New Roman" w:hAnsi="Times New Roman"/>
                <w:b/>
                <w:sz w:val="20"/>
              </w:rPr>
              <w:t>D</w:t>
            </w:r>
          </w:p>
        </w:tc>
        <w:tc>
          <w:tcPr>
            <w:tcW w:type="dxa" w:w="1881"/>
          </w:tcPr>
          <w:p>
            <w:r>
              <w:rPr>
                <w:rFonts w:ascii="Times New Roman" w:hAnsi="Times New Roman"/>
                <w:b/>
                <w:sz w:val="20"/>
              </w:rPr>
              <w:t>d</w:t>
            </w:r>
          </w:p>
        </w:tc>
        <w:tc>
          <w:tcPr>
            <w:tcW w:type="dxa" w:w="1881"/>
          </w:tcPr>
          <w:p>
            <w:r>
              <w:rPr>
                <w:rFonts w:ascii="Times New Roman" w:hAnsi="Times New Roman"/>
                <w:b/>
                <w:sz w:val="20"/>
              </w:rPr>
              <w:t>ICR_std</w:t>
            </w:r>
          </w:p>
        </w:tc>
        <w:tc>
          <w:tcPr>
            <w:tcW w:type="dxa" w:w="1881"/>
          </w:tcPr>
          <w:p>
            <w:r>
              <w:rPr>
                <w:rFonts w:ascii="Times New Roman" w:hAnsi="Times New Roman"/>
                <w:b/>
                <w:sz w:val="20"/>
              </w:rPr>
              <w:t>Effect Size</w:t>
            </w:r>
          </w:p>
        </w:tc>
      </w:tr>
      <w:tr>
        <w:tc>
          <w:tcPr>
            <w:tcW w:type="dxa" w:w="1881"/>
          </w:tcPr>
          <w:p>
            <w:r>
              <w:rPr>
                <w:rFonts w:ascii="Times New Roman" w:hAnsi="Times New Roman"/>
                <w:sz w:val="20"/>
              </w:rPr>
              <w:t>UKPDS 33 (1998)</w:t>
            </w:r>
          </w:p>
        </w:tc>
        <w:tc>
          <w:tcPr>
            <w:tcW w:type="dxa" w:w="1881"/>
          </w:tcPr>
          <w:p>
            <w:r>
              <w:rPr>
                <w:rFonts w:ascii="Times New Roman" w:hAnsi="Times New Roman"/>
                <w:sz w:val="20"/>
              </w:rPr>
              <w:t>8</w:t>
            </w:r>
          </w:p>
        </w:tc>
        <w:tc>
          <w:tcPr>
            <w:tcW w:type="dxa" w:w="1881"/>
          </w:tcPr>
          <w:p>
            <w:r>
              <w:rPr>
                <w:rFonts w:ascii="Times New Roman" w:hAnsi="Times New Roman"/>
                <w:sz w:val="20"/>
              </w:rPr>
              <w:t>1</w:t>
            </w:r>
          </w:p>
        </w:tc>
        <w:tc>
          <w:tcPr>
            <w:tcW w:type="dxa" w:w="1881"/>
          </w:tcPr>
          <w:p>
            <w:r>
              <w:rPr>
                <w:rFonts w:ascii="Times New Roman" w:hAnsi="Times New Roman"/>
                <w:sz w:val="20"/>
              </w:rPr>
              <w:t>0.125</w:t>
            </w:r>
          </w:p>
        </w:tc>
        <w:tc>
          <w:tcPr>
            <w:tcW w:type="dxa" w:w="1881"/>
          </w:tcPr>
          <w:p>
            <w:r>
              <w:rPr>
                <w:rFonts w:ascii="Times New Roman" w:hAnsi="Times New Roman"/>
                <w:sz w:val="20"/>
              </w:rPr>
              <w:t>-0.060</w:t>
            </w:r>
          </w:p>
        </w:tc>
      </w:tr>
      <w:tr>
        <w:tc>
          <w:tcPr>
            <w:tcW w:type="dxa" w:w="1881"/>
          </w:tcPr>
          <w:p>
            <w:r>
              <w:rPr>
                <w:rFonts w:ascii="Times New Roman" w:hAnsi="Times New Roman"/>
                <w:sz w:val="20"/>
              </w:rPr>
              <w:t>ACCORD (2008)</w:t>
            </w:r>
          </w:p>
        </w:tc>
        <w:tc>
          <w:tcPr>
            <w:tcW w:type="dxa" w:w="1881"/>
          </w:tcPr>
          <w:p>
            <w:r>
              <w:rPr>
                <w:rFonts w:ascii="Times New Roman" w:hAnsi="Times New Roman"/>
                <w:sz w:val="20"/>
              </w:rPr>
              <w:t>13</w:t>
            </w:r>
          </w:p>
        </w:tc>
        <w:tc>
          <w:tcPr>
            <w:tcW w:type="dxa" w:w="1881"/>
          </w:tcPr>
          <w:p>
            <w:r>
              <w:rPr>
                <w:rFonts w:ascii="Times New Roman" w:hAnsi="Times New Roman"/>
                <w:sz w:val="20"/>
              </w:rPr>
              <w:t>1</w:t>
            </w:r>
          </w:p>
        </w:tc>
        <w:tc>
          <w:tcPr>
            <w:tcW w:type="dxa" w:w="1881"/>
          </w:tcPr>
          <w:p>
            <w:r>
              <w:rPr>
                <w:rFonts w:ascii="Times New Roman" w:hAnsi="Times New Roman"/>
                <w:sz w:val="20"/>
              </w:rPr>
              <w:t>0.077</w:t>
            </w:r>
          </w:p>
        </w:tc>
        <w:tc>
          <w:tcPr>
            <w:tcW w:type="dxa" w:w="1881"/>
          </w:tcPr>
          <w:p>
            <w:r>
              <w:rPr>
                <w:rFonts w:ascii="Times New Roman" w:hAnsi="Times New Roman"/>
                <w:sz w:val="20"/>
              </w:rPr>
              <w:t>+0.220</w:t>
            </w:r>
          </w:p>
        </w:tc>
      </w:tr>
      <w:tr>
        <w:tc>
          <w:tcPr>
            <w:tcW w:type="dxa" w:w="1881"/>
          </w:tcPr>
          <w:p>
            <w:r>
              <w:rPr>
                <w:rFonts w:ascii="Times New Roman" w:hAnsi="Times New Roman"/>
                <w:sz w:val="20"/>
              </w:rPr>
              <w:t>ADVANCE (2008)</w:t>
            </w:r>
          </w:p>
        </w:tc>
        <w:tc>
          <w:tcPr>
            <w:tcW w:type="dxa" w:w="1881"/>
          </w:tcPr>
          <w:p>
            <w:r>
              <w:rPr>
                <w:rFonts w:ascii="Times New Roman" w:hAnsi="Times New Roman"/>
                <w:sz w:val="20"/>
              </w:rPr>
              <w:t>12</w:t>
            </w:r>
          </w:p>
        </w:tc>
        <w:tc>
          <w:tcPr>
            <w:tcW w:type="dxa" w:w="1881"/>
          </w:tcPr>
          <w:p>
            <w:r>
              <w:rPr>
                <w:rFonts w:ascii="Times New Roman" w:hAnsi="Times New Roman"/>
                <w:sz w:val="20"/>
              </w:rPr>
              <w:t>1</w:t>
            </w:r>
          </w:p>
        </w:tc>
        <w:tc>
          <w:tcPr>
            <w:tcW w:type="dxa" w:w="1881"/>
          </w:tcPr>
          <w:p>
            <w:r>
              <w:rPr>
                <w:rFonts w:ascii="Times New Roman" w:hAnsi="Times New Roman"/>
                <w:sz w:val="20"/>
              </w:rPr>
              <w:t>0.083</w:t>
            </w:r>
          </w:p>
        </w:tc>
        <w:tc>
          <w:tcPr>
            <w:tcW w:type="dxa" w:w="1881"/>
          </w:tcPr>
          <w:p>
            <w:r>
              <w:rPr>
                <w:rFonts w:ascii="Times New Roman" w:hAnsi="Times New Roman"/>
                <w:sz w:val="20"/>
              </w:rPr>
              <w:t>-0.070</w:t>
            </w:r>
          </w:p>
        </w:tc>
      </w:tr>
      <w:tr>
        <w:tc>
          <w:tcPr>
            <w:tcW w:type="dxa" w:w="1881"/>
          </w:tcPr>
          <w:p>
            <w:r>
              <w:rPr>
                <w:rFonts w:ascii="Times New Roman" w:hAnsi="Times New Roman"/>
                <w:sz w:val="20"/>
              </w:rPr>
              <w:t>VADT (2009)</w:t>
            </w:r>
          </w:p>
        </w:tc>
        <w:tc>
          <w:tcPr>
            <w:tcW w:type="dxa" w:w="1881"/>
          </w:tcPr>
          <w:p>
            <w:r>
              <w:rPr>
                <w:rFonts w:ascii="Times New Roman" w:hAnsi="Times New Roman"/>
                <w:sz w:val="20"/>
              </w:rPr>
              <w:t>12</w:t>
            </w:r>
          </w:p>
        </w:tc>
        <w:tc>
          <w:tcPr>
            <w:tcW w:type="dxa" w:w="1881"/>
          </w:tcPr>
          <w:p>
            <w:r>
              <w:rPr>
                <w:rFonts w:ascii="Times New Roman" w:hAnsi="Times New Roman"/>
                <w:sz w:val="20"/>
              </w:rPr>
              <w:t>1</w:t>
            </w:r>
          </w:p>
        </w:tc>
        <w:tc>
          <w:tcPr>
            <w:tcW w:type="dxa" w:w="1881"/>
          </w:tcPr>
          <w:p>
            <w:r>
              <w:rPr>
                <w:rFonts w:ascii="Times New Roman" w:hAnsi="Times New Roman"/>
                <w:sz w:val="20"/>
              </w:rPr>
              <w:t>0.083</w:t>
            </w:r>
          </w:p>
        </w:tc>
        <w:tc>
          <w:tcPr>
            <w:tcW w:type="dxa" w:w="1881"/>
          </w:tcPr>
          <w:p>
            <w:r>
              <w:rPr>
                <w:rFonts w:ascii="Times New Roman" w:hAnsi="Times New Roman"/>
                <w:sz w:val="20"/>
              </w:rPr>
              <w:t>-0.020</w:t>
            </w:r>
          </w:p>
        </w:tc>
      </w:tr>
    </w:tbl>
    <w:p>
      <w:pPr>
        <w:spacing w:line="480" w:lineRule="auto"/>
      </w:pPr>
      <w:r>
        <w:rPr>
          <w:rFonts w:ascii="Times New Roman" w:hAnsi="Times New Roman"/>
          <w:b w:val="0"/>
          <w:i/>
          <w:sz w:val="24"/>
        </w:rPr>
        <w:t>Table 3. Glucose control RCTs: ICR values and effect sizes.</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ICRD = 0.048, ICR CV = 0.240. Meta-analysis I-squared = 17.0%. Pooled effect: -0.003 [-0.131, +0.124].</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4339804"/>
            <wp:docPr id="3" name="Picture 3"/>
            <wp:cNvGraphicFramePr>
              <a:graphicFrameLocks noChangeAspect="1"/>
            </wp:cNvGraphicFramePr>
            <a:graphic>
              <a:graphicData uri="http://schemas.openxmlformats.org/drawingml/2006/picture">
                <pic:pic>
                  <pic:nvPicPr>
                    <pic:cNvPr id="0" name="fig_realworld_statin.png"/>
                    <pic:cNvPicPr/>
                  </pic:nvPicPr>
                  <pic:blipFill>
                    <a:blip r:embed="rId11"/>
                    <a:stretch>
                      <a:fillRect/>
                    </a:stretch>
                  </pic:blipFill>
                  <pic:spPr>
                    <a:xfrm>
                      <a:off x="0" y="0"/>
                      <a:ext cx="5029200" cy="4339804"/>
                    </a:xfrm>
                    <a:prstGeom prst="rect"/>
                  </pic:spPr>
                </pic:pic>
              </a:graphicData>
            </a:graphic>
          </wp:inline>
        </w:drawing>
      </w:r>
    </w:p>
    <w:p>
      <w:pPr>
        <w:spacing w:line="480" w:lineRule="auto"/>
      </w:pPr>
      <w:r>
        <w:rPr>
          <w:rFonts w:ascii="Times New Roman" w:hAnsi="Times New Roman"/>
          <w:b w:val="0"/>
          <w:i/>
          <w:sz w:val="24"/>
        </w:rPr>
        <w:t>Figure 3. ICR analysis of statin therapy RCTs.</w:t>
      </w:r>
    </w:p>
    <w:p>
      <w:r>
        <w:drawing>
          <wp:inline xmlns:a="http://schemas.openxmlformats.org/drawingml/2006/main" xmlns:pic="http://schemas.openxmlformats.org/drawingml/2006/picture">
            <wp:extent cx="5029200" cy="4338585"/>
            <wp:docPr id="4" name="Picture 4"/>
            <wp:cNvGraphicFramePr>
              <a:graphicFrameLocks noChangeAspect="1"/>
            </wp:cNvGraphicFramePr>
            <a:graphic>
              <a:graphicData uri="http://schemas.openxmlformats.org/drawingml/2006/picture">
                <pic:pic>
                  <pic:nvPicPr>
                    <pic:cNvPr id="0" name="fig_realworld_glucose_control.png"/>
                    <pic:cNvPicPr/>
                  </pic:nvPicPr>
                  <pic:blipFill>
                    <a:blip r:embed="rId12"/>
                    <a:stretch>
                      <a:fillRect/>
                    </a:stretch>
                  </pic:blipFill>
                  <pic:spPr>
                    <a:xfrm>
                      <a:off x="0" y="0"/>
                      <a:ext cx="5029200" cy="4338585"/>
                    </a:xfrm>
                    <a:prstGeom prst="rect"/>
                  </pic:spPr>
                </pic:pic>
              </a:graphicData>
            </a:graphic>
          </wp:inline>
        </w:drawing>
      </w:r>
    </w:p>
    <w:p>
      <w:pPr>
        <w:spacing w:line="480" w:lineRule="auto"/>
      </w:pPr>
      <w:r>
        <w:rPr>
          <w:rFonts w:ascii="Times New Roman" w:hAnsi="Times New Roman"/>
          <w:b w:val="0"/>
          <w:i/>
          <w:sz w:val="24"/>
        </w:rPr>
        <w:t>Figure 4. ICR analysis of intensive glucose control RCTs.</w:t>
      </w:r>
    </w:p>
    <w:p>
      <w:pPr>
        <w:pStyle w:val="Heading2"/>
      </w:pPr>
      <w:r>
        <w:rPr>
          <w:rFonts w:ascii="Times New Roman" w:hAnsi="Times New Roman"/>
          <w:color w:val="000000"/>
        </w:rPr>
        <w:t>PCA-based ICR validation (Approach 2: IST individual patient data)</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rFonts w:ascii="Times New Roman" w:hAnsi="Times New Roman"/>
                <w:b/>
                <w:sz w:val="20"/>
              </w:rPr>
              <w:t>Country</w:t>
            </w:r>
          </w:p>
        </w:tc>
        <w:tc>
          <w:tcPr>
            <w:tcW w:type="dxa" w:w="1344"/>
          </w:tcPr>
          <w:p>
            <w:r>
              <w:rPr>
                <w:rFonts w:ascii="Times New Roman" w:hAnsi="Times New Roman"/>
                <w:b/>
                <w:sz w:val="20"/>
              </w:rPr>
              <w:t>n</w:t>
            </w:r>
          </w:p>
        </w:tc>
        <w:tc>
          <w:tcPr>
            <w:tcW w:type="dxa" w:w="1344"/>
          </w:tcPr>
          <w:p>
            <w:r>
              <w:rPr>
                <w:rFonts w:ascii="Times New Roman" w:hAnsi="Times New Roman"/>
                <w:b/>
                <w:sz w:val="20"/>
              </w:rPr>
              <w:t>Mortality</w:t>
            </w:r>
          </w:p>
        </w:tc>
        <w:tc>
          <w:tcPr>
            <w:tcW w:type="dxa" w:w="1344"/>
          </w:tcPr>
          <w:p>
            <w:r>
              <w:rPr>
                <w:rFonts w:ascii="Times New Roman" w:hAnsi="Times New Roman"/>
                <w:b/>
                <w:sz w:val="20"/>
              </w:rPr>
              <w:t>ICR_std</w:t>
            </w:r>
          </w:p>
        </w:tc>
        <w:tc>
          <w:tcPr>
            <w:tcW w:type="dxa" w:w="1344"/>
          </w:tcPr>
          <w:p>
            <w:r>
              <w:rPr>
                <w:rFonts w:ascii="Times New Roman" w:hAnsi="Times New Roman"/>
                <w:b/>
                <w:sz w:val="20"/>
              </w:rPr>
              <w:t>ICR_pca (loading)</w:t>
            </w:r>
          </w:p>
        </w:tc>
        <w:tc>
          <w:tcPr>
            <w:tcW w:type="dxa" w:w="1344"/>
          </w:tcPr>
          <w:p>
            <w:r>
              <w:rPr>
                <w:rFonts w:ascii="Times New Roman" w:hAnsi="Times New Roman"/>
                <w:b/>
                <w:sz w:val="20"/>
              </w:rPr>
              <w:t>ICR_pca (regression)</w:t>
            </w:r>
          </w:p>
        </w:tc>
        <w:tc>
          <w:tcPr>
            <w:tcW w:type="dxa" w:w="1344"/>
          </w:tcPr>
          <w:p>
            <w:r>
              <w:rPr>
                <w:rFonts w:ascii="Times New Roman" w:hAnsi="Times New Roman"/>
                <w:b/>
                <w:sz w:val="20"/>
              </w:rPr>
              <w:t>Endpoint PCs</w:t>
            </w:r>
          </w:p>
        </w:tc>
      </w:tr>
      <w:tr>
        <w:tc>
          <w:tcPr>
            <w:tcW w:type="dxa" w:w="1344"/>
          </w:tcPr>
          <w:p>
            <w:r>
              <w:rPr>
                <w:rFonts w:ascii="Times New Roman" w:hAnsi="Times New Roman"/>
                <w:sz w:val="20"/>
              </w:rPr>
              <w:t>UK</w:t>
            </w:r>
          </w:p>
        </w:tc>
        <w:tc>
          <w:tcPr>
            <w:tcW w:type="dxa" w:w="1344"/>
          </w:tcPr>
          <w:p>
            <w:r>
              <w:rPr>
                <w:rFonts w:ascii="Times New Roman" w:hAnsi="Times New Roman"/>
                <w:sz w:val="20"/>
              </w:rPr>
              <w:t>5,787</w:t>
            </w:r>
          </w:p>
        </w:tc>
        <w:tc>
          <w:tcPr>
            <w:tcW w:type="dxa" w:w="1344"/>
          </w:tcPr>
          <w:p>
            <w:r>
              <w:rPr>
                <w:rFonts w:ascii="Times New Roman" w:hAnsi="Times New Roman"/>
                <w:sz w:val="20"/>
              </w:rPr>
              <w:t>28.6%</w:t>
            </w:r>
          </w:p>
        </w:tc>
        <w:tc>
          <w:tcPr>
            <w:tcW w:type="dxa" w:w="1344"/>
          </w:tcPr>
          <w:p>
            <w:r>
              <w:rPr>
                <w:rFonts w:ascii="Times New Roman" w:hAnsi="Times New Roman"/>
                <w:sz w:val="20"/>
              </w:rPr>
              <w:t>0.040</w:t>
            </w:r>
          </w:p>
        </w:tc>
        <w:tc>
          <w:tcPr>
            <w:tcW w:type="dxa" w:w="1344"/>
          </w:tcPr>
          <w:p>
            <w:r>
              <w:rPr>
                <w:rFonts w:ascii="Times New Roman" w:hAnsi="Times New Roman"/>
                <w:sz w:val="20"/>
              </w:rPr>
              <w:t>0.138</w:t>
            </w:r>
          </w:p>
        </w:tc>
        <w:tc>
          <w:tcPr>
            <w:tcW w:type="dxa" w:w="1344"/>
          </w:tcPr>
          <w:p>
            <w:r>
              <w:rPr>
                <w:rFonts w:ascii="Times New Roman" w:hAnsi="Times New Roman"/>
                <w:sz w:val="20"/>
              </w:rPr>
              <w:t>0.00162</w:t>
            </w:r>
          </w:p>
        </w:tc>
        <w:tc>
          <w:tcPr>
            <w:tcW w:type="dxa" w:w="1344"/>
          </w:tcPr>
          <w:p>
            <w:r>
              <w:rPr>
                <w:rFonts w:ascii="Times New Roman" w:hAnsi="Times New Roman"/>
                <w:sz w:val="20"/>
              </w:rPr>
              <w:t>4</w:t>
            </w:r>
          </w:p>
        </w:tc>
      </w:tr>
      <w:tr>
        <w:tc>
          <w:tcPr>
            <w:tcW w:type="dxa" w:w="1344"/>
          </w:tcPr>
          <w:p>
            <w:r>
              <w:rPr>
                <w:rFonts w:ascii="Times New Roman" w:hAnsi="Times New Roman"/>
                <w:sz w:val="20"/>
              </w:rPr>
              <w:t>Italy</w:t>
            </w:r>
          </w:p>
        </w:tc>
        <w:tc>
          <w:tcPr>
            <w:tcW w:type="dxa" w:w="1344"/>
          </w:tcPr>
          <w:p>
            <w:r>
              <w:rPr>
                <w:rFonts w:ascii="Times New Roman" w:hAnsi="Times New Roman"/>
                <w:sz w:val="20"/>
              </w:rPr>
              <w:t>3,112</w:t>
            </w:r>
          </w:p>
        </w:tc>
        <w:tc>
          <w:tcPr>
            <w:tcW w:type="dxa" w:w="1344"/>
          </w:tcPr>
          <w:p>
            <w:r>
              <w:rPr>
                <w:rFonts w:ascii="Times New Roman" w:hAnsi="Times New Roman"/>
                <w:sz w:val="20"/>
              </w:rPr>
              <w:t>20.0%</w:t>
            </w:r>
          </w:p>
        </w:tc>
        <w:tc>
          <w:tcPr>
            <w:tcW w:type="dxa" w:w="1344"/>
          </w:tcPr>
          <w:p>
            <w:r>
              <w:rPr>
                <w:rFonts w:ascii="Times New Roman" w:hAnsi="Times New Roman"/>
                <w:sz w:val="20"/>
              </w:rPr>
              <w:t>0.040</w:t>
            </w:r>
          </w:p>
        </w:tc>
        <w:tc>
          <w:tcPr>
            <w:tcW w:type="dxa" w:w="1344"/>
          </w:tcPr>
          <w:p>
            <w:r>
              <w:rPr>
                <w:rFonts w:ascii="Times New Roman" w:hAnsi="Times New Roman"/>
                <w:sz w:val="20"/>
              </w:rPr>
              <w:t>0.046</w:t>
            </w:r>
          </w:p>
        </w:tc>
        <w:tc>
          <w:tcPr>
            <w:tcW w:type="dxa" w:w="1344"/>
          </w:tcPr>
          <w:p>
            <w:r>
              <w:rPr>
                <w:rFonts w:ascii="Times New Roman" w:hAnsi="Times New Roman"/>
                <w:sz w:val="20"/>
              </w:rPr>
              <w:t>0.00153</w:t>
            </w:r>
          </w:p>
        </w:tc>
        <w:tc>
          <w:tcPr>
            <w:tcW w:type="dxa" w:w="1344"/>
          </w:tcPr>
          <w:p>
            <w:r>
              <w:rPr>
                <w:rFonts w:ascii="Times New Roman" w:hAnsi="Times New Roman"/>
                <w:sz w:val="20"/>
              </w:rPr>
              <w:t>2</w:t>
            </w:r>
          </w:p>
        </w:tc>
      </w:tr>
      <w:tr>
        <w:tc>
          <w:tcPr>
            <w:tcW w:type="dxa" w:w="1344"/>
          </w:tcPr>
          <w:p>
            <w:r>
              <w:rPr>
                <w:rFonts w:ascii="Times New Roman" w:hAnsi="Times New Roman"/>
                <w:sz w:val="20"/>
              </w:rPr>
              <w:t>Switzerland</w:t>
            </w:r>
          </w:p>
        </w:tc>
        <w:tc>
          <w:tcPr>
            <w:tcW w:type="dxa" w:w="1344"/>
          </w:tcPr>
          <w:p>
            <w:r>
              <w:rPr>
                <w:rFonts w:ascii="Times New Roman" w:hAnsi="Times New Roman"/>
                <w:sz w:val="20"/>
              </w:rPr>
              <w:t>1,631</w:t>
            </w:r>
          </w:p>
        </w:tc>
        <w:tc>
          <w:tcPr>
            <w:tcW w:type="dxa" w:w="1344"/>
          </w:tcPr>
          <w:p>
            <w:r>
              <w:rPr>
                <w:rFonts w:ascii="Times New Roman" w:hAnsi="Times New Roman"/>
                <w:sz w:val="20"/>
              </w:rPr>
              <w:t>23.1%</w:t>
            </w:r>
          </w:p>
        </w:tc>
        <w:tc>
          <w:tcPr>
            <w:tcW w:type="dxa" w:w="1344"/>
          </w:tcPr>
          <w:p>
            <w:r>
              <w:rPr>
                <w:rFonts w:ascii="Times New Roman" w:hAnsi="Times New Roman"/>
                <w:sz w:val="20"/>
              </w:rPr>
              <w:t>0.040</w:t>
            </w:r>
          </w:p>
        </w:tc>
        <w:tc>
          <w:tcPr>
            <w:tcW w:type="dxa" w:w="1344"/>
          </w:tcPr>
          <w:p>
            <w:r>
              <w:rPr>
                <w:rFonts w:ascii="Times New Roman" w:hAnsi="Times New Roman"/>
                <w:sz w:val="20"/>
              </w:rPr>
              <w:t>0.121</w:t>
            </w:r>
          </w:p>
        </w:tc>
        <w:tc>
          <w:tcPr>
            <w:tcW w:type="dxa" w:w="1344"/>
          </w:tcPr>
          <w:p>
            <w:r>
              <w:rPr>
                <w:rFonts w:ascii="Times New Roman" w:hAnsi="Times New Roman"/>
                <w:sz w:val="20"/>
              </w:rPr>
              <w:t>0.00135</w:t>
            </w:r>
          </w:p>
        </w:tc>
        <w:tc>
          <w:tcPr>
            <w:tcW w:type="dxa" w:w="1344"/>
          </w:tcPr>
          <w:p>
            <w:r>
              <w:rPr>
                <w:rFonts w:ascii="Times New Roman" w:hAnsi="Times New Roman"/>
                <w:sz w:val="20"/>
              </w:rPr>
              <w:t>4</w:t>
            </w:r>
          </w:p>
        </w:tc>
      </w:tr>
      <w:tr>
        <w:tc>
          <w:tcPr>
            <w:tcW w:type="dxa" w:w="1344"/>
          </w:tcPr>
          <w:p>
            <w:r>
              <w:rPr>
                <w:rFonts w:ascii="Times New Roman" w:hAnsi="Times New Roman"/>
                <w:sz w:val="20"/>
              </w:rPr>
              <w:t>Poland</w:t>
            </w:r>
          </w:p>
        </w:tc>
        <w:tc>
          <w:tcPr>
            <w:tcW w:type="dxa" w:w="1344"/>
          </w:tcPr>
          <w:p>
            <w:r>
              <w:rPr>
                <w:rFonts w:ascii="Times New Roman" w:hAnsi="Times New Roman"/>
                <w:sz w:val="20"/>
              </w:rPr>
              <w:t>759</w:t>
            </w:r>
          </w:p>
        </w:tc>
        <w:tc>
          <w:tcPr>
            <w:tcW w:type="dxa" w:w="1344"/>
          </w:tcPr>
          <w:p>
            <w:r>
              <w:rPr>
                <w:rFonts w:ascii="Times New Roman" w:hAnsi="Times New Roman"/>
                <w:sz w:val="20"/>
              </w:rPr>
              <w:t>29.6%</w:t>
            </w:r>
          </w:p>
        </w:tc>
        <w:tc>
          <w:tcPr>
            <w:tcW w:type="dxa" w:w="1344"/>
          </w:tcPr>
          <w:p>
            <w:r>
              <w:rPr>
                <w:rFonts w:ascii="Times New Roman" w:hAnsi="Times New Roman"/>
                <w:sz w:val="20"/>
              </w:rPr>
              <w:t>0.040</w:t>
            </w:r>
          </w:p>
        </w:tc>
        <w:tc>
          <w:tcPr>
            <w:tcW w:type="dxa" w:w="1344"/>
          </w:tcPr>
          <w:p>
            <w:r>
              <w:rPr>
                <w:rFonts w:ascii="Times New Roman" w:hAnsi="Times New Roman"/>
                <w:sz w:val="20"/>
              </w:rPr>
              <w:t>0.139</w:t>
            </w:r>
          </w:p>
        </w:tc>
        <w:tc>
          <w:tcPr>
            <w:tcW w:type="dxa" w:w="1344"/>
          </w:tcPr>
          <w:p>
            <w:r>
              <w:rPr>
                <w:rFonts w:ascii="Times New Roman" w:hAnsi="Times New Roman"/>
                <w:sz w:val="20"/>
              </w:rPr>
              <w:t>0.00230</w:t>
            </w:r>
          </w:p>
        </w:tc>
        <w:tc>
          <w:tcPr>
            <w:tcW w:type="dxa" w:w="1344"/>
          </w:tcPr>
          <w:p>
            <w:r>
              <w:rPr>
                <w:rFonts w:ascii="Times New Roman" w:hAnsi="Times New Roman"/>
                <w:sz w:val="20"/>
              </w:rPr>
              <w:t>4</w:t>
            </w:r>
          </w:p>
        </w:tc>
      </w:tr>
      <w:tr>
        <w:tc>
          <w:tcPr>
            <w:tcW w:type="dxa" w:w="1344"/>
          </w:tcPr>
          <w:p>
            <w:r>
              <w:rPr>
                <w:rFonts w:ascii="Times New Roman" w:hAnsi="Times New Roman"/>
                <w:sz w:val="20"/>
              </w:rPr>
              <w:t>Netherlands</w:t>
            </w:r>
          </w:p>
        </w:tc>
        <w:tc>
          <w:tcPr>
            <w:tcW w:type="dxa" w:w="1344"/>
          </w:tcPr>
          <w:p>
            <w:r>
              <w:rPr>
                <w:rFonts w:ascii="Times New Roman" w:hAnsi="Times New Roman"/>
                <w:sz w:val="20"/>
              </w:rPr>
              <w:t>728</w:t>
            </w:r>
          </w:p>
        </w:tc>
        <w:tc>
          <w:tcPr>
            <w:tcW w:type="dxa" w:w="1344"/>
          </w:tcPr>
          <w:p>
            <w:r>
              <w:rPr>
                <w:rFonts w:ascii="Times New Roman" w:hAnsi="Times New Roman"/>
                <w:sz w:val="20"/>
              </w:rPr>
              <w:t>18.3%</w:t>
            </w:r>
          </w:p>
        </w:tc>
        <w:tc>
          <w:tcPr>
            <w:tcW w:type="dxa" w:w="1344"/>
          </w:tcPr>
          <w:p>
            <w:r>
              <w:rPr>
                <w:rFonts w:ascii="Times New Roman" w:hAnsi="Times New Roman"/>
                <w:sz w:val="20"/>
              </w:rPr>
              <w:t>0.040</w:t>
            </w:r>
          </w:p>
        </w:tc>
        <w:tc>
          <w:tcPr>
            <w:tcW w:type="dxa" w:w="1344"/>
          </w:tcPr>
          <w:p>
            <w:r>
              <w:rPr>
                <w:rFonts w:ascii="Times New Roman" w:hAnsi="Times New Roman"/>
                <w:sz w:val="20"/>
              </w:rPr>
              <w:t>0.180</w:t>
            </w:r>
          </w:p>
        </w:tc>
        <w:tc>
          <w:tcPr>
            <w:tcW w:type="dxa" w:w="1344"/>
          </w:tcPr>
          <w:p>
            <w:r>
              <w:rPr>
                <w:rFonts w:ascii="Times New Roman" w:hAnsi="Times New Roman"/>
                <w:sz w:val="20"/>
              </w:rPr>
              <w:t>0.00136</w:t>
            </w:r>
          </w:p>
        </w:tc>
        <w:tc>
          <w:tcPr>
            <w:tcW w:type="dxa" w:w="1344"/>
          </w:tcPr>
          <w:p>
            <w:r>
              <w:rPr>
                <w:rFonts w:ascii="Times New Roman" w:hAnsi="Times New Roman"/>
                <w:sz w:val="20"/>
              </w:rPr>
              <w:t>5</w:t>
            </w:r>
          </w:p>
        </w:tc>
      </w:tr>
      <w:tr>
        <w:tc>
          <w:tcPr>
            <w:tcW w:type="dxa" w:w="1344"/>
          </w:tcPr>
          <w:p>
            <w:r>
              <w:rPr>
                <w:rFonts w:ascii="Times New Roman" w:hAnsi="Times New Roman"/>
                <w:sz w:val="20"/>
              </w:rPr>
              <w:t>Sweden</w:t>
            </w:r>
          </w:p>
        </w:tc>
        <w:tc>
          <w:tcPr>
            <w:tcW w:type="dxa" w:w="1344"/>
          </w:tcPr>
          <w:p>
            <w:r>
              <w:rPr>
                <w:rFonts w:ascii="Times New Roman" w:hAnsi="Times New Roman"/>
                <w:sz w:val="20"/>
              </w:rPr>
              <w:t>636</w:t>
            </w:r>
          </w:p>
        </w:tc>
        <w:tc>
          <w:tcPr>
            <w:tcW w:type="dxa" w:w="1344"/>
          </w:tcPr>
          <w:p>
            <w:r>
              <w:rPr>
                <w:rFonts w:ascii="Times New Roman" w:hAnsi="Times New Roman"/>
                <w:sz w:val="20"/>
              </w:rPr>
              <w:t>12.7%</w:t>
            </w:r>
          </w:p>
        </w:tc>
        <w:tc>
          <w:tcPr>
            <w:tcW w:type="dxa" w:w="1344"/>
          </w:tcPr>
          <w:p>
            <w:r>
              <w:rPr>
                <w:rFonts w:ascii="Times New Roman" w:hAnsi="Times New Roman"/>
                <w:sz w:val="20"/>
              </w:rPr>
              <w:t>0.040</w:t>
            </w:r>
          </w:p>
        </w:tc>
        <w:tc>
          <w:tcPr>
            <w:tcW w:type="dxa" w:w="1344"/>
          </w:tcPr>
          <w:p>
            <w:r>
              <w:rPr>
                <w:rFonts w:ascii="Times New Roman" w:hAnsi="Times New Roman"/>
                <w:sz w:val="20"/>
              </w:rPr>
              <w:t>0.096</w:t>
            </w:r>
          </w:p>
        </w:tc>
        <w:tc>
          <w:tcPr>
            <w:tcW w:type="dxa" w:w="1344"/>
          </w:tcPr>
          <w:p>
            <w:r>
              <w:rPr>
                <w:rFonts w:ascii="Times New Roman" w:hAnsi="Times New Roman"/>
                <w:sz w:val="20"/>
              </w:rPr>
              <w:t>0.00073</w:t>
            </w:r>
          </w:p>
        </w:tc>
        <w:tc>
          <w:tcPr>
            <w:tcW w:type="dxa" w:w="1344"/>
          </w:tcPr>
          <w:p>
            <w:r>
              <w:rPr>
                <w:rFonts w:ascii="Times New Roman" w:hAnsi="Times New Roman"/>
                <w:sz w:val="20"/>
              </w:rPr>
              <w:t>3</w:t>
            </w:r>
          </w:p>
        </w:tc>
      </w:tr>
      <w:tr>
        <w:tc>
          <w:tcPr>
            <w:tcW w:type="dxa" w:w="1344"/>
          </w:tcPr>
          <w:p>
            <w:r>
              <w:rPr>
                <w:rFonts w:ascii="Times New Roman" w:hAnsi="Times New Roman"/>
                <w:sz w:val="20"/>
              </w:rPr>
              <w:t>Australia</w:t>
            </w:r>
          </w:p>
        </w:tc>
        <w:tc>
          <w:tcPr>
            <w:tcW w:type="dxa" w:w="1344"/>
          </w:tcPr>
          <w:p>
            <w:r>
              <w:rPr>
                <w:rFonts w:ascii="Times New Roman" w:hAnsi="Times New Roman"/>
                <w:sz w:val="20"/>
              </w:rPr>
              <w:t>568</w:t>
            </w:r>
          </w:p>
        </w:tc>
        <w:tc>
          <w:tcPr>
            <w:tcW w:type="dxa" w:w="1344"/>
          </w:tcPr>
          <w:p>
            <w:r>
              <w:rPr>
                <w:rFonts w:ascii="Times New Roman" w:hAnsi="Times New Roman"/>
                <w:sz w:val="20"/>
              </w:rPr>
              <w:t>15.0%</w:t>
            </w:r>
          </w:p>
        </w:tc>
        <w:tc>
          <w:tcPr>
            <w:tcW w:type="dxa" w:w="1344"/>
          </w:tcPr>
          <w:p>
            <w:r>
              <w:rPr>
                <w:rFonts w:ascii="Times New Roman" w:hAnsi="Times New Roman"/>
                <w:sz w:val="20"/>
              </w:rPr>
              <w:t>0.040</w:t>
            </w:r>
          </w:p>
        </w:tc>
        <w:tc>
          <w:tcPr>
            <w:tcW w:type="dxa" w:w="1344"/>
          </w:tcPr>
          <w:p>
            <w:r>
              <w:rPr>
                <w:rFonts w:ascii="Times New Roman" w:hAnsi="Times New Roman"/>
                <w:sz w:val="20"/>
              </w:rPr>
              <w:t>0.109</w:t>
            </w:r>
          </w:p>
        </w:tc>
        <w:tc>
          <w:tcPr>
            <w:tcW w:type="dxa" w:w="1344"/>
          </w:tcPr>
          <w:p>
            <w:r>
              <w:rPr>
                <w:rFonts w:ascii="Times New Roman" w:hAnsi="Times New Roman"/>
                <w:sz w:val="20"/>
              </w:rPr>
              <w:t>0.00096</w:t>
            </w:r>
          </w:p>
        </w:tc>
        <w:tc>
          <w:tcPr>
            <w:tcW w:type="dxa" w:w="1344"/>
          </w:tcPr>
          <w:p>
            <w:r>
              <w:rPr>
                <w:rFonts w:ascii="Times New Roman" w:hAnsi="Times New Roman"/>
                <w:sz w:val="20"/>
              </w:rPr>
              <w:t>4</w:t>
            </w:r>
          </w:p>
        </w:tc>
      </w:tr>
      <w:tr>
        <w:tc>
          <w:tcPr>
            <w:tcW w:type="dxa" w:w="1344"/>
          </w:tcPr>
          <w:p>
            <w:r>
              <w:rPr>
                <w:rFonts w:ascii="Times New Roman" w:hAnsi="Times New Roman"/>
                <w:sz w:val="20"/>
              </w:rPr>
              <w:t>Argentina</w:t>
            </w:r>
          </w:p>
        </w:tc>
        <w:tc>
          <w:tcPr>
            <w:tcW w:type="dxa" w:w="1344"/>
          </w:tcPr>
          <w:p>
            <w:r>
              <w:rPr>
                <w:rFonts w:ascii="Times New Roman" w:hAnsi="Times New Roman"/>
                <w:sz w:val="20"/>
              </w:rPr>
              <w:t>545</w:t>
            </w:r>
          </w:p>
        </w:tc>
        <w:tc>
          <w:tcPr>
            <w:tcW w:type="dxa" w:w="1344"/>
          </w:tcPr>
          <w:p>
            <w:r>
              <w:rPr>
                <w:rFonts w:ascii="Times New Roman" w:hAnsi="Times New Roman"/>
                <w:sz w:val="20"/>
              </w:rPr>
              <w:t>21.8%</w:t>
            </w:r>
          </w:p>
        </w:tc>
        <w:tc>
          <w:tcPr>
            <w:tcW w:type="dxa" w:w="1344"/>
          </w:tcPr>
          <w:p>
            <w:r>
              <w:rPr>
                <w:rFonts w:ascii="Times New Roman" w:hAnsi="Times New Roman"/>
                <w:sz w:val="20"/>
              </w:rPr>
              <w:t>0.040</w:t>
            </w:r>
          </w:p>
        </w:tc>
        <w:tc>
          <w:tcPr>
            <w:tcW w:type="dxa" w:w="1344"/>
          </w:tcPr>
          <w:p>
            <w:r>
              <w:rPr>
                <w:rFonts w:ascii="Times New Roman" w:hAnsi="Times New Roman"/>
                <w:sz w:val="20"/>
              </w:rPr>
              <w:t>0.079</w:t>
            </w:r>
          </w:p>
        </w:tc>
        <w:tc>
          <w:tcPr>
            <w:tcW w:type="dxa" w:w="1344"/>
          </w:tcPr>
          <w:p>
            <w:r>
              <w:rPr>
                <w:rFonts w:ascii="Times New Roman" w:hAnsi="Times New Roman"/>
                <w:sz w:val="20"/>
              </w:rPr>
              <w:t>0.00157</w:t>
            </w:r>
          </w:p>
        </w:tc>
        <w:tc>
          <w:tcPr>
            <w:tcW w:type="dxa" w:w="1344"/>
          </w:tcPr>
          <w:p>
            <w:r>
              <w:rPr>
                <w:rFonts w:ascii="Times New Roman" w:hAnsi="Times New Roman"/>
                <w:sz w:val="20"/>
              </w:rPr>
              <w:t>3</w:t>
            </w:r>
          </w:p>
        </w:tc>
      </w:tr>
    </w:tbl>
    <w:p>
      <w:pPr>
        <w:spacing w:line="480" w:lineRule="auto"/>
      </w:pPr>
      <w:r>
        <w:rPr>
          <w:rFonts w:ascii="Times New Roman" w:hAnsi="Times New Roman"/>
          <w:b w:val="0"/>
          <w:i/>
          <w:sz w:val="24"/>
        </w:rPr>
        <w:t>Table 4. PCA-based ICR analysis of IST dataset by country sub-study.</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ICR_pca (loading) ranged from 0.046 (Italy) to 0.180 (Netherlands), CV = 0.36. Regression-based ICR_pca correlated strongly with 14-day mortality (r = 0.90, p = 0.003).</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3563658"/>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029200" cy="3563658"/>
                    </a:xfrm>
                    <a:prstGeom prst="rect"/>
                  </pic:spPr>
                </pic:pic>
              </a:graphicData>
            </a:graphic>
          </wp:inline>
        </w:drawing>
      </w:r>
    </w:p>
    <w:p>
      <w:pPr>
        <w:spacing w:line="480" w:lineRule="auto"/>
      </w:pPr>
      <w:r>
        <w:rPr>
          <w:rFonts w:ascii="Times New Roman" w:hAnsi="Times New Roman"/>
          <w:b w:val="0"/>
          <w:i/>
          <w:sz w:val="24"/>
        </w:rPr>
        <w:t>Figure 5. PCA-based ICR analysis of the IST.</w:t>
      </w:r>
    </w:p>
    <w:p>
      <w:pPr>
        <w:pStyle w:val="Heading2"/>
      </w:pPr>
      <w:r>
        <w:rPr>
          <w:rFonts w:ascii="Times New Roman" w:hAnsi="Times New Roman"/>
          <w:color w:val="000000"/>
        </w:rPr>
        <w:t>Leave-one-out sensitivity analysis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Excluded Country</w:t>
            </w:r>
          </w:p>
        </w:tc>
        <w:tc>
          <w:tcPr>
            <w:tcW w:type="dxa" w:w="1881"/>
          </w:tcPr>
          <w:p>
            <w:r>
              <w:rPr>
                <w:rFonts w:ascii="Times New Roman" w:hAnsi="Times New Roman"/>
                <w:b/>
                <w:sz w:val="20"/>
              </w:rPr>
              <w:t>r (loading)</w:t>
            </w:r>
          </w:p>
        </w:tc>
        <w:tc>
          <w:tcPr>
            <w:tcW w:type="dxa" w:w="1881"/>
          </w:tcPr>
          <w:p>
            <w:r>
              <w:rPr>
                <w:rFonts w:ascii="Times New Roman" w:hAnsi="Times New Roman"/>
                <w:b/>
                <w:sz w:val="20"/>
              </w:rPr>
              <w:t>p-value</w:t>
            </w:r>
          </w:p>
        </w:tc>
        <w:tc>
          <w:tcPr>
            <w:tcW w:type="dxa" w:w="1881"/>
          </w:tcPr>
          <w:p>
            <w:r>
              <w:rPr>
                <w:rFonts w:ascii="Times New Roman" w:hAnsi="Times New Roman"/>
                <w:b/>
                <w:sz w:val="20"/>
              </w:rPr>
              <w:t>r (regression)</w:t>
            </w:r>
          </w:p>
        </w:tc>
        <w:tc>
          <w:tcPr>
            <w:tcW w:type="dxa" w:w="1881"/>
          </w:tcPr>
          <w:p>
            <w:r>
              <w:rPr>
                <w:rFonts w:ascii="Times New Roman" w:hAnsi="Times New Roman"/>
                <w:b/>
                <w:sz w:val="20"/>
              </w:rPr>
              <w:t>p-value</w:t>
            </w:r>
          </w:p>
        </w:tc>
      </w:tr>
      <w:tr>
        <w:tc>
          <w:tcPr>
            <w:tcW w:type="dxa" w:w="1881"/>
          </w:tcPr>
          <w:p>
            <w:r>
              <w:rPr>
                <w:rFonts w:ascii="Times New Roman" w:hAnsi="Times New Roman"/>
                <w:sz w:val="20"/>
              </w:rPr>
              <w:t>UK</w:t>
            </w:r>
          </w:p>
        </w:tc>
        <w:tc>
          <w:tcPr>
            <w:tcW w:type="dxa" w:w="1881"/>
          </w:tcPr>
          <w:p>
            <w:r>
              <w:rPr>
                <w:rFonts w:ascii="Times New Roman" w:hAnsi="Times New Roman"/>
                <w:sz w:val="20"/>
              </w:rPr>
              <w:t>0.169</w:t>
            </w:r>
          </w:p>
        </w:tc>
        <w:tc>
          <w:tcPr>
            <w:tcW w:type="dxa" w:w="1881"/>
          </w:tcPr>
          <w:p>
            <w:r>
              <w:rPr>
                <w:rFonts w:ascii="Times New Roman" w:hAnsi="Times New Roman"/>
                <w:sz w:val="20"/>
              </w:rPr>
              <w:t>0.717</w:t>
            </w:r>
          </w:p>
        </w:tc>
        <w:tc>
          <w:tcPr>
            <w:tcW w:type="dxa" w:w="1881"/>
          </w:tcPr>
          <w:p>
            <w:r>
              <w:rPr>
                <w:rFonts w:ascii="Times New Roman" w:hAnsi="Times New Roman"/>
                <w:sz w:val="20"/>
              </w:rPr>
              <w:t>0.954</w:t>
            </w:r>
          </w:p>
        </w:tc>
        <w:tc>
          <w:tcPr>
            <w:tcW w:type="dxa" w:w="1881"/>
          </w:tcPr>
          <w:p>
            <w:r>
              <w:rPr>
                <w:rFonts w:ascii="Times New Roman" w:hAnsi="Times New Roman"/>
                <w:sz w:val="20"/>
              </w:rPr>
              <w:t>0.001</w:t>
            </w:r>
          </w:p>
        </w:tc>
      </w:tr>
      <w:tr>
        <w:tc>
          <w:tcPr>
            <w:tcW w:type="dxa" w:w="1881"/>
          </w:tcPr>
          <w:p>
            <w:r>
              <w:rPr>
                <w:rFonts w:ascii="Times New Roman" w:hAnsi="Times New Roman"/>
                <w:sz w:val="20"/>
              </w:rPr>
              <w:t>Italy</w:t>
            </w:r>
          </w:p>
        </w:tc>
        <w:tc>
          <w:tcPr>
            <w:tcW w:type="dxa" w:w="1881"/>
          </w:tcPr>
          <w:p>
            <w:r>
              <w:rPr>
                <w:rFonts w:ascii="Times New Roman" w:hAnsi="Times New Roman"/>
                <w:sz w:val="20"/>
              </w:rPr>
              <w:t>0.286</w:t>
            </w:r>
          </w:p>
        </w:tc>
        <w:tc>
          <w:tcPr>
            <w:tcW w:type="dxa" w:w="1881"/>
          </w:tcPr>
          <w:p>
            <w:r>
              <w:rPr>
                <w:rFonts w:ascii="Times New Roman" w:hAnsi="Times New Roman"/>
                <w:sz w:val="20"/>
              </w:rPr>
              <w:t>0.534</w:t>
            </w:r>
          </w:p>
        </w:tc>
        <w:tc>
          <w:tcPr>
            <w:tcW w:type="dxa" w:w="1881"/>
          </w:tcPr>
          <w:p>
            <w:r>
              <w:rPr>
                <w:rFonts w:ascii="Times New Roman" w:hAnsi="Times New Roman"/>
                <w:sz w:val="20"/>
              </w:rPr>
              <w:t>0.908</w:t>
            </w:r>
          </w:p>
        </w:tc>
        <w:tc>
          <w:tcPr>
            <w:tcW w:type="dxa" w:w="1881"/>
          </w:tcPr>
          <w:p>
            <w:r>
              <w:rPr>
                <w:rFonts w:ascii="Times New Roman" w:hAnsi="Times New Roman"/>
                <w:sz w:val="20"/>
              </w:rPr>
              <w:t>0.005</w:t>
            </w:r>
          </w:p>
        </w:tc>
      </w:tr>
      <w:tr>
        <w:tc>
          <w:tcPr>
            <w:tcW w:type="dxa" w:w="1881"/>
          </w:tcPr>
          <w:p>
            <w:r>
              <w:rPr>
                <w:rFonts w:ascii="Times New Roman" w:hAnsi="Times New Roman"/>
                <w:sz w:val="20"/>
              </w:rPr>
              <w:t>Switzerland</w:t>
            </w:r>
          </w:p>
        </w:tc>
        <w:tc>
          <w:tcPr>
            <w:tcW w:type="dxa" w:w="1881"/>
          </w:tcPr>
          <w:p>
            <w:r>
              <w:rPr>
                <w:rFonts w:ascii="Times New Roman" w:hAnsi="Times New Roman"/>
                <w:sz w:val="20"/>
              </w:rPr>
              <w:t>0.258</w:t>
            </w:r>
          </w:p>
        </w:tc>
        <w:tc>
          <w:tcPr>
            <w:tcW w:type="dxa" w:w="1881"/>
          </w:tcPr>
          <w:p>
            <w:r>
              <w:rPr>
                <w:rFonts w:ascii="Times New Roman" w:hAnsi="Times New Roman"/>
                <w:sz w:val="20"/>
              </w:rPr>
              <w:t>0.577</w:t>
            </w:r>
          </w:p>
        </w:tc>
        <w:tc>
          <w:tcPr>
            <w:tcW w:type="dxa" w:w="1881"/>
          </w:tcPr>
          <w:p>
            <w:r>
              <w:rPr>
                <w:rFonts w:ascii="Times New Roman" w:hAnsi="Times New Roman"/>
                <w:sz w:val="20"/>
              </w:rPr>
              <w:t>0.914</w:t>
            </w:r>
          </w:p>
        </w:tc>
        <w:tc>
          <w:tcPr>
            <w:tcW w:type="dxa" w:w="1881"/>
          </w:tcPr>
          <w:p>
            <w:r>
              <w:rPr>
                <w:rFonts w:ascii="Times New Roman" w:hAnsi="Times New Roman"/>
                <w:sz w:val="20"/>
              </w:rPr>
              <w:t>0.004</w:t>
            </w:r>
          </w:p>
        </w:tc>
      </w:tr>
      <w:tr>
        <w:tc>
          <w:tcPr>
            <w:tcW w:type="dxa" w:w="1881"/>
          </w:tcPr>
          <w:p>
            <w:r>
              <w:rPr>
                <w:rFonts w:ascii="Times New Roman" w:hAnsi="Times New Roman"/>
                <w:sz w:val="20"/>
              </w:rPr>
              <w:t>Poland</w:t>
            </w:r>
          </w:p>
        </w:tc>
        <w:tc>
          <w:tcPr>
            <w:tcW w:type="dxa" w:w="1881"/>
          </w:tcPr>
          <w:p>
            <w:r>
              <w:rPr>
                <w:rFonts w:ascii="Times New Roman" w:hAnsi="Times New Roman"/>
                <w:sz w:val="20"/>
              </w:rPr>
              <w:t>0.154</w:t>
            </w:r>
          </w:p>
        </w:tc>
        <w:tc>
          <w:tcPr>
            <w:tcW w:type="dxa" w:w="1881"/>
          </w:tcPr>
          <w:p>
            <w:r>
              <w:rPr>
                <w:rFonts w:ascii="Times New Roman" w:hAnsi="Times New Roman"/>
                <w:sz w:val="20"/>
              </w:rPr>
              <w:t>0.742</w:t>
            </w:r>
          </w:p>
        </w:tc>
        <w:tc>
          <w:tcPr>
            <w:tcW w:type="dxa" w:w="1881"/>
          </w:tcPr>
          <w:p>
            <w:r>
              <w:rPr>
                <w:rFonts w:ascii="Times New Roman" w:hAnsi="Times New Roman"/>
                <w:sz w:val="20"/>
              </w:rPr>
              <w:t>0.860</w:t>
            </w:r>
          </w:p>
        </w:tc>
        <w:tc>
          <w:tcPr>
            <w:tcW w:type="dxa" w:w="1881"/>
          </w:tcPr>
          <w:p>
            <w:r>
              <w:rPr>
                <w:rFonts w:ascii="Times New Roman" w:hAnsi="Times New Roman"/>
                <w:sz w:val="20"/>
              </w:rPr>
              <w:t>0.013</w:t>
            </w:r>
          </w:p>
        </w:tc>
      </w:tr>
      <w:tr>
        <w:tc>
          <w:tcPr>
            <w:tcW w:type="dxa" w:w="1881"/>
          </w:tcPr>
          <w:p>
            <w:r>
              <w:rPr>
                <w:rFonts w:ascii="Times New Roman" w:hAnsi="Times New Roman"/>
                <w:sz w:val="20"/>
              </w:rPr>
              <w:t>Netherlands</w:t>
            </w:r>
          </w:p>
        </w:tc>
        <w:tc>
          <w:tcPr>
            <w:tcW w:type="dxa" w:w="1881"/>
          </w:tcPr>
          <w:p>
            <w:r>
              <w:rPr>
                <w:rFonts w:ascii="Times New Roman" w:hAnsi="Times New Roman"/>
                <w:sz w:val="20"/>
              </w:rPr>
              <w:t>0.526</w:t>
            </w:r>
          </w:p>
        </w:tc>
        <w:tc>
          <w:tcPr>
            <w:tcW w:type="dxa" w:w="1881"/>
          </w:tcPr>
          <w:p>
            <w:r>
              <w:rPr>
                <w:rFonts w:ascii="Times New Roman" w:hAnsi="Times New Roman"/>
                <w:sz w:val="20"/>
              </w:rPr>
              <w:t>0.225</w:t>
            </w:r>
          </w:p>
        </w:tc>
        <w:tc>
          <w:tcPr>
            <w:tcW w:type="dxa" w:w="1881"/>
          </w:tcPr>
          <w:p>
            <w:r>
              <w:rPr>
                <w:rFonts w:ascii="Times New Roman" w:hAnsi="Times New Roman"/>
                <w:sz w:val="20"/>
              </w:rPr>
              <w:t>0.903</w:t>
            </w:r>
          </w:p>
        </w:tc>
        <w:tc>
          <w:tcPr>
            <w:tcW w:type="dxa" w:w="1881"/>
          </w:tcPr>
          <w:p>
            <w:r>
              <w:rPr>
                <w:rFonts w:ascii="Times New Roman" w:hAnsi="Times New Roman"/>
                <w:sz w:val="20"/>
              </w:rPr>
              <w:t>0.005</w:t>
            </w:r>
          </w:p>
        </w:tc>
      </w:tr>
      <w:tr>
        <w:tc>
          <w:tcPr>
            <w:tcW w:type="dxa" w:w="1881"/>
          </w:tcPr>
          <w:p>
            <w:r>
              <w:rPr>
                <w:rFonts w:ascii="Times New Roman" w:hAnsi="Times New Roman"/>
                <w:sz w:val="20"/>
              </w:rPr>
              <w:t>Sweden</w:t>
            </w:r>
          </w:p>
        </w:tc>
        <w:tc>
          <w:tcPr>
            <w:tcW w:type="dxa" w:w="1881"/>
          </w:tcPr>
          <w:p>
            <w:r>
              <w:rPr>
                <w:rFonts w:ascii="Times New Roman" w:hAnsi="Times New Roman"/>
                <w:sz w:val="20"/>
              </w:rPr>
              <w:t>0.205</w:t>
            </w:r>
          </w:p>
        </w:tc>
        <w:tc>
          <w:tcPr>
            <w:tcW w:type="dxa" w:w="1881"/>
          </w:tcPr>
          <w:p>
            <w:r>
              <w:rPr>
                <w:rFonts w:ascii="Times New Roman" w:hAnsi="Times New Roman"/>
                <w:sz w:val="20"/>
              </w:rPr>
              <w:t>0.659</w:t>
            </w:r>
          </w:p>
        </w:tc>
        <w:tc>
          <w:tcPr>
            <w:tcW w:type="dxa" w:w="1881"/>
          </w:tcPr>
          <w:p>
            <w:r>
              <w:rPr>
                <w:rFonts w:ascii="Times New Roman" w:hAnsi="Times New Roman"/>
                <w:sz w:val="20"/>
              </w:rPr>
              <w:t>0.843</w:t>
            </w:r>
          </w:p>
        </w:tc>
        <w:tc>
          <w:tcPr>
            <w:tcW w:type="dxa" w:w="1881"/>
          </w:tcPr>
          <w:p>
            <w:r>
              <w:rPr>
                <w:rFonts w:ascii="Times New Roman" w:hAnsi="Times New Roman"/>
                <w:sz w:val="20"/>
              </w:rPr>
              <w:t>0.017</w:t>
            </w:r>
          </w:p>
        </w:tc>
      </w:tr>
      <w:tr>
        <w:tc>
          <w:tcPr>
            <w:tcW w:type="dxa" w:w="1881"/>
          </w:tcPr>
          <w:p>
            <w:r>
              <w:rPr>
                <w:rFonts w:ascii="Times New Roman" w:hAnsi="Times New Roman"/>
                <w:sz w:val="20"/>
              </w:rPr>
              <w:t>Australia</w:t>
            </w:r>
          </w:p>
        </w:tc>
        <w:tc>
          <w:tcPr>
            <w:tcW w:type="dxa" w:w="1881"/>
          </w:tcPr>
          <w:p>
            <w:r>
              <w:rPr>
                <w:rFonts w:ascii="Times New Roman" w:hAnsi="Times New Roman"/>
                <w:sz w:val="20"/>
              </w:rPr>
              <w:t>0.272</w:t>
            </w:r>
          </w:p>
        </w:tc>
        <w:tc>
          <w:tcPr>
            <w:tcW w:type="dxa" w:w="1881"/>
          </w:tcPr>
          <w:p>
            <w:r>
              <w:rPr>
                <w:rFonts w:ascii="Times New Roman" w:hAnsi="Times New Roman"/>
                <w:sz w:val="20"/>
              </w:rPr>
              <w:t>0.555</w:t>
            </w:r>
          </w:p>
        </w:tc>
        <w:tc>
          <w:tcPr>
            <w:tcW w:type="dxa" w:w="1881"/>
          </w:tcPr>
          <w:p>
            <w:r>
              <w:rPr>
                <w:rFonts w:ascii="Times New Roman" w:hAnsi="Times New Roman"/>
                <w:sz w:val="20"/>
              </w:rPr>
              <w:t>0.875</w:t>
            </w:r>
          </w:p>
        </w:tc>
        <w:tc>
          <w:tcPr>
            <w:tcW w:type="dxa" w:w="1881"/>
          </w:tcPr>
          <w:p>
            <w:r>
              <w:rPr>
                <w:rFonts w:ascii="Times New Roman" w:hAnsi="Times New Roman"/>
                <w:sz w:val="20"/>
              </w:rPr>
              <w:t>0.010</w:t>
            </w:r>
          </w:p>
        </w:tc>
      </w:tr>
      <w:tr>
        <w:tc>
          <w:tcPr>
            <w:tcW w:type="dxa" w:w="1881"/>
          </w:tcPr>
          <w:p>
            <w:r>
              <w:rPr>
                <w:rFonts w:ascii="Times New Roman" w:hAnsi="Times New Roman"/>
                <w:sz w:val="20"/>
              </w:rPr>
              <w:t>Argentina</w:t>
            </w:r>
          </w:p>
        </w:tc>
        <w:tc>
          <w:tcPr>
            <w:tcW w:type="dxa" w:w="1881"/>
          </w:tcPr>
          <w:p>
            <w:r>
              <w:rPr>
                <w:rFonts w:ascii="Times New Roman" w:hAnsi="Times New Roman"/>
                <w:sz w:val="20"/>
              </w:rPr>
              <w:t>0.299</w:t>
            </w:r>
          </w:p>
        </w:tc>
        <w:tc>
          <w:tcPr>
            <w:tcW w:type="dxa" w:w="1881"/>
          </w:tcPr>
          <w:p>
            <w:r>
              <w:rPr>
                <w:rFonts w:ascii="Times New Roman" w:hAnsi="Times New Roman"/>
                <w:sz w:val="20"/>
              </w:rPr>
              <w:t>0.515</w:t>
            </w:r>
          </w:p>
        </w:tc>
        <w:tc>
          <w:tcPr>
            <w:tcW w:type="dxa" w:w="1881"/>
          </w:tcPr>
          <w:p>
            <w:r>
              <w:rPr>
                <w:rFonts w:ascii="Times New Roman" w:hAnsi="Times New Roman"/>
                <w:sz w:val="20"/>
              </w:rPr>
              <w:t>0.898</w:t>
            </w:r>
          </w:p>
        </w:tc>
        <w:tc>
          <w:tcPr>
            <w:tcW w:type="dxa" w:w="1881"/>
          </w:tcPr>
          <w:p>
            <w:r>
              <w:rPr>
                <w:rFonts w:ascii="Times New Roman" w:hAnsi="Times New Roman"/>
                <w:sz w:val="20"/>
              </w:rPr>
              <w:t>0.006</w:t>
            </w:r>
          </w:p>
        </w:tc>
      </w:tr>
      <w:tr>
        <w:tc>
          <w:tcPr>
            <w:tcW w:type="dxa" w:w="1881"/>
          </w:tcPr>
          <w:p>
            <w:r>
              <w:rPr>
                <w:rFonts w:ascii="Times New Roman" w:hAnsi="Times New Roman"/>
                <w:sz w:val="20"/>
              </w:rPr>
              <w:t>Full (n=8)</w:t>
            </w:r>
          </w:p>
        </w:tc>
        <w:tc>
          <w:tcPr>
            <w:tcW w:type="dxa" w:w="1881"/>
          </w:tcPr>
          <w:p>
            <w:r>
              <w:rPr>
                <w:rFonts w:ascii="Times New Roman" w:hAnsi="Times New Roman"/>
                <w:sz w:val="20"/>
              </w:rPr>
              <w:t>0.265</w:t>
            </w:r>
          </w:p>
        </w:tc>
        <w:tc>
          <w:tcPr>
            <w:tcW w:type="dxa" w:w="1881"/>
          </w:tcPr>
          <w:p>
            <w:r>
              <w:rPr>
                <w:rFonts w:ascii="Times New Roman" w:hAnsi="Times New Roman"/>
                <w:sz w:val="20"/>
              </w:rPr>
              <w:t>0.526</w:t>
            </w:r>
          </w:p>
        </w:tc>
        <w:tc>
          <w:tcPr>
            <w:tcW w:type="dxa" w:w="1881"/>
          </w:tcPr>
          <w:p>
            <w:r>
              <w:rPr>
                <w:rFonts w:ascii="Times New Roman" w:hAnsi="Times New Roman"/>
                <w:sz w:val="20"/>
              </w:rPr>
              <w:t>0.896</w:t>
            </w:r>
          </w:p>
        </w:tc>
        <w:tc>
          <w:tcPr>
            <w:tcW w:type="dxa" w:w="1881"/>
          </w:tcPr>
          <w:p>
            <w:r>
              <w:rPr>
                <w:rFonts w:ascii="Times New Roman" w:hAnsi="Times New Roman"/>
                <w:sz w:val="20"/>
              </w:rPr>
              <w:t>0.003</w:t>
            </w:r>
          </w:p>
        </w:tc>
      </w:tr>
    </w:tbl>
    <w:p>
      <w:pPr>
        <w:spacing w:line="480" w:lineRule="auto"/>
      </w:pPr>
      <w:r>
        <w:rPr>
          <w:rFonts w:ascii="Times New Roman" w:hAnsi="Times New Roman"/>
          <w:b w:val="0"/>
          <w:i/>
          <w:sz w:val="24"/>
        </w:rPr>
        <w:t>Table 5. Leave-one-out sensitivity analysis for ICR_pca vs 14-day mortality.</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Regression-based ICR_pca correlation remained strong (r = 0.84-0.95, all p &lt; 0.02) regardless of which country was excluded.</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2142960"/>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029200" cy="2142960"/>
                    </a:xfrm>
                    <a:prstGeom prst="rect"/>
                  </pic:spPr>
                </pic:pic>
              </a:graphicData>
            </a:graphic>
          </wp:inline>
        </w:drawing>
      </w:r>
    </w:p>
    <w:p>
      <w:pPr>
        <w:spacing w:line="480" w:lineRule="auto"/>
      </w:pPr>
      <w:r>
        <w:rPr>
          <w:rFonts w:ascii="Times New Roman" w:hAnsi="Times New Roman"/>
          <w:b w:val="0"/>
          <w:i/>
          <w:sz w:val="24"/>
        </w:rPr>
        <w:t>Figure 6. Leave-one-out sensitivity analysis.</w:t>
      </w:r>
    </w:p>
    <w:p>
      <w:pPr>
        <w:pStyle w:val="Heading2"/>
      </w:pPr>
      <w:r>
        <w:rPr>
          <w:rFonts w:ascii="Times New Roman" w:hAnsi="Times New Roman"/>
          <w:color w:val="000000"/>
        </w:rPr>
        <w:t>LINKO Prism Forest Plot</w:t>
      </w:r>
    </w:p>
    <w:p>
      <w:pPr>
        <w:spacing w:line="480" w:lineRule="auto"/>
      </w:pPr>
      <w:r>
        <w:rPr>
          <w:rFonts w:ascii="Times New Roman" w:hAnsi="Times New Roman"/>
          <w:b w:val="0"/>
          <w:i w:val="0"/>
          <w:sz w:val="24"/>
        </w:rPr>
        <w:t>The Prism Forest Plot revealed clear visual differences between meta-analyses with low vs. high ICRD:</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2120900"/>
            <wp:docPr id="7" name="Picture 7"/>
            <wp:cNvGraphicFramePr>
              <a:graphicFrameLocks noChangeAspect="1"/>
            </wp:cNvGraphicFramePr>
            <a:graphic>
              <a:graphicData uri="http://schemas.openxmlformats.org/drawingml/2006/picture">
                <pic:pic>
                  <pic:nvPicPr>
                    <pic:cNvPr id="0" name="fig_linko_prism_statin.png"/>
                    <pic:cNvPicPr/>
                  </pic:nvPicPr>
                  <pic:blipFill>
                    <a:blip r:embed="rId15"/>
                    <a:stretch>
                      <a:fillRect/>
                    </a:stretch>
                  </pic:blipFill>
                  <pic:spPr>
                    <a:xfrm>
                      <a:off x="0" y="0"/>
                      <a:ext cx="5029200" cy="2120900"/>
                    </a:xfrm>
                    <a:prstGeom prst="rect"/>
                  </pic:spPr>
                </pic:pic>
              </a:graphicData>
            </a:graphic>
          </wp:inline>
        </w:drawing>
      </w:r>
    </w:p>
    <w:p>
      <w:pPr>
        <w:spacing w:line="480" w:lineRule="auto"/>
      </w:pPr>
      <w:r>
        <w:rPr>
          <w:rFonts w:ascii="Times New Roman" w:hAnsi="Times New Roman"/>
          <w:b w:val="0"/>
          <w:i/>
          <w:sz w:val="24"/>
        </w:rPr>
        <w:t>Figure 7. LINKO Prism Forest Plot: Statin therapy (low ICRD = 0.009). Note uniform coloring across studies.</w:t>
      </w:r>
    </w:p>
    <w:p>
      <w:r>
        <w:drawing>
          <wp:inline xmlns:a="http://schemas.openxmlformats.org/drawingml/2006/main" xmlns:pic="http://schemas.openxmlformats.org/drawingml/2006/picture">
            <wp:extent cx="5029200" cy="2122431"/>
            <wp:docPr id="8" name="Picture 8"/>
            <wp:cNvGraphicFramePr>
              <a:graphicFrameLocks noChangeAspect="1"/>
            </wp:cNvGraphicFramePr>
            <a:graphic>
              <a:graphicData uri="http://schemas.openxmlformats.org/drawingml/2006/picture">
                <pic:pic>
                  <pic:nvPicPr>
                    <pic:cNvPr id="0" name="fig_linko_prism_glucose.png"/>
                    <pic:cNvPicPr/>
                  </pic:nvPicPr>
                  <pic:blipFill>
                    <a:blip r:embed="rId16"/>
                    <a:stretch>
                      <a:fillRect/>
                    </a:stretch>
                  </pic:blipFill>
                  <pic:spPr>
                    <a:xfrm>
                      <a:off x="0" y="0"/>
                      <a:ext cx="5029200" cy="2122431"/>
                    </a:xfrm>
                    <a:prstGeom prst="rect"/>
                  </pic:spPr>
                </pic:pic>
              </a:graphicData>
            </a:graphic>
          </wp:inline>
        </w:drawing>
      </w:r>
    </w:p>
    <w:p>
      <w:pPr>
        <w:spacing w:line="480" w:lineRule="auto"/>
      </w:pPr>
      <w:r>
        <w:rPr>
          <w:rFonts w:ascii="Times New Roman" w:hAnsi="Times New Roman"/>
          <w:b w:val="0"/>
          <w:i/>
          <w:sz w:val="24"/>
        </w:rPr>
        <w:t>Figure 8. LINKO Prism Forest Plot: Glucose control (high ICRD = 0.048). Note color gradient reflecting ICR variation.</w:t>
      </w:r>
    </w:p>
    <w:p>
      <w:r>
        <w:drawing>
          <wp:inline xmlns:a="http://schemas.openxmlformats.org/drawingml/2006/main" xmlns:pic="http://schemas.openxmlformats.org/drawingml/2006/picture">
            <wp:extent cx="5029200" cy="2697711"/>
            <wp:docPr id="9" name="Picture 9"/>
            <wp:cNvGraphicFramePr>
              <a:graphicFrameLocks noChangeAspect="1"/>
            </wp:cNvGraphicFramePr>
            <a:graphic>
              <a:graphicData uri="http://schemas.openxmlformats.org/drawingml/2006/picture">
                <pic:pic>
                  <pic:nvPicPr>
                    <pic:cNvPr id="0" name="fig_linko_prism_ist.png"/>
                    <pic:cNvPicPr/>
                  </pic:nvPicPr>
                  <pic:blipFill>
                    <a:blip r:embed="rId17"/>
                    <a:stretch>
                      <a:fillRect/>
                    </a:stretch>
                  </pic:blipFill>
                  <pic:spPr>
                    <a:xfrm>
                      <a:off x="0" y="0"/>
                      <a:ext cx="5029200" cy="2697711"/>
                    </a:xfrm>
                    <a:prstGeom prst="rect"/>
                  </pic:spPr>
                </pic:pic>
              </a:graphicData>
            </a:graphic>
          </wp:inline>
        </w:drawing>
      </w:r>
    </w:p>
    <w:p>
      <w:pPr>
        <w:spacing w:line="480" w:lineRule="auto"/>
      </w:pPr>
      <w:r>
        <w:rPr>
          <w:rFonts w:ascii="Times New Roman" w:hAnsi="Times New Roman"/>
          <w:b w:val="0"/>
          <w:i/>
          <w:sz w:val="24"/>
        </w:rPr>
        <w:t>Figure 9. LINKO Prism Forest Plot: IST country sub-studies (color = ICR_pca loading, size = ICR_pca regression).</w:t>
      </w:r>
    </w:p>
    <w:p>
      <w:pPr>
        <w:pStyle w:val="Heading2"/>
      </w:pPr>
      <w:r>
        <w:rPr>
          <w:rFonts w:ascii="Times New Roman" w:hAnsi="Times New Roman"/>
          <w:color w:val="000000"/>
        </w:rPr>
        <w:t>Early convergence analysis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Pr>
                <w:rFonts w:ascii="Times New Roman" w:hAnsi="Times New Roman"/>
                <w:b/>
                <w:sz w:val="20"/>
              </w:rPr>
              <w:t>Strategy</w:t>
            </w:r>
          </w:p>
        </w:tc>
        <w:tc>
          <w:tcPr>
            <w:tcW w:type="dxa" w:w="1568"/>
          </w:tcPr>
          <w:p>
            <w:r>
              <w:rPr>
                <w:rFonts w:ascii="Times New Roman" w:hAnsi="Times New Roman"/>
                <w:b/>
                <w:sz w:val="20"/>
              </w:rPr>
              <w:t>Mean studies to conclusion</w:t>
            </w:r>
          </w:p>
        </w:tc>
        <w:tc>
          <w:tcPr>
            <w:tcW w:type="dxa" w:w="1568"/>
          </w:tcPr>
          <w:p>
            <w:r>
              <w:rPr>
                <w:rFonts w:ascii="Times New Roman" w:hAnsi="Times New Roman"/>
                <w:b/>
                <w:sz w:val="20"/>
              </w:rPr>
              <w:t>Median</w:t>
            </w:r>
          </w:p>
        </w:tc>
        <w:tc>
          <w:tcPr>
            <w:tcW w:type="dxa" w:w="1568"/>
          </w:tcPr>
          <w:p>
            <w:r>
              <w:rPr>
                <w:rFonts w:ascii="Times New Roman" w:hAnsi="Times New Roman"/>
                <w:b/>
                <w:sz w:val="20"/>
              </w:rPr>
              <w:t>% conclusive by 5</w:t>
            </w:r>
          </w:p>
        </w:tc>
        <w:tc>
          <w:tcPr>
            <w:tcW w:type="dxa" w:w="1568"/>
          </w:tcPr>
          <w:p>
            <w:r>
              <w:rPr>
                <w:rFonts w:ascii="Times New Roman" w:hAnsi="Times New Roman"/>
                <w:b/>
                <w:sz w:val="20"/>
              </w:rPr>
              <w:t>% conclusive by 10</w:t>
            </w:r>
          </w:p>
        </w:tc>
        <w:tc>
          <w:tcPr>
            <w:tcW w:type="dxa" w:w="1568"/>
          </w:tcPr>
          <w:p>
            <w:r>
              <w:rPr>
                <w:rFonts w:ascii="Times New Roman" w:hAnsi="Times New Roman"/>
                <w:b/>
                <w:sz w:val="20"/>
              </w:rPr>
              <w:t>Mean studies to I-sq&lt;25%</w:t>
            </w:r>
          </w:p>
        </w:tc>
      </w:tr>
      <w:tr>
        <w:tc>
          <w:tcPr>
            <w:tcW w:type="dxa" w:w="1568"/>
          </w:tcPr>
          <w:p>
            <w:r>
              <w:rPr>
                <w:rFonts w:ascii="Times New Roman" w:hAnsi="Times New Roman"/>
                <w:sz w:val="20"/>
              </w:rPr>
              <w:t>Random</w:t>
            </w:r>
          </w:p>
        </w:tc>
        <w:tc>
          <w:tcPr>
            <w:tcW w:type="dxa" w:w="1568"/>
          </w:tcPr>
          <w:p>
            <w:r>
              <w:rPr>
                <w:rFonts w:ascii="Times New Roman" w:hAnsi="Times New Roman"/>
                <w:sz w:val="20"/>
              </w:rPr>
              <w:t>3.94</w:t>
            </w:r>
          </w:p>
        </w:tc>
        <w:tc>
          <w:tcPr>
            <w:tcW w:type="dxa" w:w="1568"/>
          </w:tcPr>
          <w:p>
            <w:r>
              <w:rPr>
                <w:rFonts w:ascii="Times New Roman" w:hAnsi="Times New Roman"/>
                <w:sz w:val="20"/>
              </w:rPr>
              <w:t>3.0</w:t>
            </w:r>
          </w:p>
        </w:tc>
        <w:tc>
          <w:tcPr>
            <w:tcW w:type="dxa" w:w="1568"/>
          </w:tcPr>
          <w:p>
            <w:r>
              <w:rPr>
                <w:rFonts w:ascii="Times New Roman" w:hAnsi="Times New Roman"/>
                <w:sz w:val="20"/>
              </w:rPr>
              <w:t>81.4%</w:t>
            </w:r>
          </w:p>
        </w:tc>
        <w:tc>
          <w:tcPr>
            <w:tcW w:type="dxa" w:w="1568"/>
          </w:tcPr>
          <w:p>
            <w:r>
              <w:rPr>
                <w:rFonts w:ascii="Times New Roman" w:hAnsi="Times New Roman"/>
                <w:sz w:val="20"/>
              </w:rPr>
              <w:t>97.2%</w:t>
            </w:r>
          </w:p>
        </w:tc>
        <w:tc>
          <w:tcPr>
            <w:tcW w:type="dxa" w:w="1568"/>
          </w:tcPr>
          <w:p>
            <w:r>
              <w:rPr>
                <w:rFonts w:ascii="Times New Roman" w:hAnsi="Times New Roman"/>
                <w:sz w:val="20"/>
              </w:rPr>
              <w:t>3.19</w:t>
            </w:r>
          </w:p>
        </w:tc>
      </w:tr>
      <w:tr>
        <w:tc>
          <w:tcPr>
            <w:tcW w:type="dxa" w:w="1568"/>
          </w:tcPr>
          <w:p>
            <w:r>
              <w:rPr>
                <w:rFonts w:ascii="Times New Roman" w:hAnsi="Times New Roman"/>
                <w:sz w:val="20"/>
              </w:rPr>
              <w:t>ICR-matched</w:t>
            </w:r>
          </w:p>
        </w:tc>
        <w:tc>
          <w:tcPr>
            <w:tcW w:type="dxa" w:w="1568"/>
          </w:tcPr>
          <w:p>
            <w:r>
              <w:rPr>
                <w:rFonts w:ascii="Times New Roman" w:hAnsi="Times New Roman"/>
                <w:sz w:val="20"/>
              </w:rPr>
              <w:t>3.91</w:t>
            </w:r>
          </w:p>
        </w:tc>
        <w:tc>
          <w:tcPr>
            <w:tcW w:type="dxa" w:w="1568"/>
          </w:tcPr>
          <w:p>
            <w:r>
              <w:rPr>
                <w:rFonts w:ascii="Times New Roman" w:hAnsi="Times New Roman"/>
                <w:sz w:val="20"/>
              </w:rPr>
              <w:t>3.0</w:t>
            </w:r>
          </w:p>
        </w:tc>
        <w:tc>
          <w:tcPr>
            <w:tcW w:type="dxa" w:w="1568"/>
          </w:tcPr>
          <w:p>
            <w:r>
              <w:rPr>
                <w:rFonts w:ascii="Times New Roman" w:hAnsi="Times New Roman"/>
                <w:sz w:val="20"/>
              </w:rPr>
              <w:t>78.0%</w:t>
            </w:r>
          </w:p>
        </w:tc>
        <w:tc>
          <w:tcPr>
            <w:tcW w:type="dxa" w:w="1568"/>
          </w:tcPr>
          <w:p>
            <w:r>
              <w:rPr>
                <w:rFonts w:ascii="Times New Roman" w:hAnsi="Times New Roman"/>
                <w:sz w:val="20"/>
              </w:rPr>
              <w:t>97.6%</w:t>
            </w:r>
          </w:p>
        </w:tc>
        <w:tc>
          <w:tcPr>
            <w:tcW w:type="dxa" w:w="1568"/>
          </w:tcPr>
          <w:p>
            <w:r>
              <w:rPr>
                <w:rFonts w:ascii="Times New Roman" w:hAnsi="Times New Roman"/>
                <w:sz w:val="20"/>
              </w:rPr>
              <w:t>3.20</w:t>
            </w:r>
          </w:p>
        </w:tc>
      </w:tr>
      <w:tr>
        <w:tc>
          <w:tcPr>
            <w:tcW w:type="dxa" w:w="1568"/>
          </w:tcPr>
          <w:p>
            <w:r>
              <w:rPr>
                <w:rFonts w:ascii="Times New Roman" w:hAnsi="Times New Roman"/>
                <w:sz w:val="20"/>
              </w:rPr>
              <w:t>LINKO optimized</w:t>
            </w:r>
          </w:p>
        </w:tc>
        <w:tc>
          <w:tcPr>
            <w:tcW w:type="dxa" w:w="1568"/>
          </w:tcPr>
          <w:p>
            <w:r>
              <w:rPr>
                <w:rFonts w:ascii="Times New Roman" w:hAnsi="Times New Roman"/>
                <w:sz w:val="20"/>
              </w:rPr>
              <w:t>4.00</w:t>
            </w:r>
          </w:p>
        </w:tc>
        <w:tc>
          <w:tcPr>
            <w:tcW w:type="dxa" w:w="1568"/>
          </w:tcPr>
          <w:p>
            <w:r>
              <w:rPr>
                <w:rFonts w:ascii="Times New Roman" w:hAnsi="Times New Roman"/>
                <w:sz w:val="20"/>
              </w:rPr>
              <w:t>3.0</w:t>
            </w:r>
          </w:p>
        </w:tc>
        <w:tc>
          <w:tcPr>
            <w:tcW w:type="dxa" w:w="1568"/>
          </w:tcPr>
          <w:p>
            <w:r>
              <w:rPr>
                <w:rFonts w:ascii="Times New Roman" w:hAnsi="Times New Roman"/>
                <w:sz w:val="20"/>
              </w:rPr>
              <w:t>77.6%</w:t>
            </w:r>
          </w:p>
        </w:tc>
        <w:tc>
          <w:tcPr>
            <w:tcW w:type="dxa" w:w="1568"/>
          </w:tcPr>
          <w:p>
            <w:r>
              <w:rPr>
                <w:rFonts w:ascii="Times New Roman" w:hAnsi="Times New Roman"/>
                <w:sz w:val="20"/>
              </w:rPr>
              <w:t>97.6%</w:t>
            </w:r>
          </w:p>
        </w:tc>
        <w:tc>
          <w:tcPr>
            <w:tcW w:type="dxa" w:w="1568"/>
          </w:tcPr>
          <w:p>
            <w:r>
              <w:rPr>
                <w:rFonts w:ascii="Times New Roman" w:hAnsi="Times New Roman"/>
                <w:sz w:val="20"/>
              </w:rPr>
              <w:t>3.14</w:t>
            </w:r>
          </w:p>
        </w:tc>
      </w:tr>
    </w:tbl>
    <w:p>
      <w:pPr>
        <w:spacing w:line="480" w:lineRule="auto"/>
      </w:pPr>
      <w:r>
        <w:rPr>
          <w:rFonts w:ascii="Times New Roman" w:hAnsi="Times New Roman"/>
          <w:b w:val="0"/>
          <w:i/>
          <w:sz w:val="24"/>
        </w:rPr>
        <w:t>Table 7. Early convergence simulation results (500 iterations).</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LINKO-optimized strategy achieved the lowest mean studies for I-squared &lt; 25% (3.14 vs 3.19-3.20), suggesting ICR-guided selection may improve homogeneity of early evidence synthesis.</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1732608"/>
            <wp:docPr id="10" name="Picture 10"/>
            <wp:cNvGraphicFramePr>
              <a:graphicFrameLocks noChangeAspect="1"/>
            </wp:cNvGraphicFramePr>
            <a:graphic>
              <a:graphicData uri="http://schemas.openxmlformats.org/drawingml/2006/picture">
                <pic:pic>
                  <pic:nvPicPr>
                    <pic:cNvPr id="0" name="fig_linko_early_convergence.png"/>
                    <pic:cNvPicPr/>
                  </pic:nvPicPr>
                  <pic:blipFill>
                    <a:blip r:embed="rId18"/>
                    <a:stretch>
                      <a:fillRect/>
                    </a:stretch>
                  </pic:blipFill>
                  <pic:spPr>
                    <a:xfrm>
                      <a:off x="0" y="0"/>
                      <a:ext cx="5029200" cy="1732608"/>
                    </a:xfrm>
                    <a:prstGeom prst="rect"/>
                  </pic:spPr>
                </pic:pic>
              </a:graphicData>
            </a:graphic>
          </wp:inline>
        </w:drawing>
      </w:r>
    </w:p>
    <w:p>
      <w:pPr>
        <w:spacing w:line="480" w:lineRule="auto"/>
      </w:pPr>
      <w:r>
        <w:rPr>
          <w:rFonts w:ascii="Times New Roman" w:hAnsi="Times New Roman"/>
          <w:b w:val="0"/>
          <w:i/>
          <w:sz w:val="24"/>
        </w:rPr>
        <w:t>Figure 10. LINKO early convergence analysis.</w:t>
      </w:r>
    </w:p>
    <w:p>
      <w:pPr>
        <w:pStyle w:val="Heading2"/>
      </w:pPr>
      <w:r>
        <w:rPr>
          <w:rFonts w:ascii="Times New Roman" w:hAnsi="Times New Roman"/>
          <w:color w:val="000000"/>
        </w:rPr>
        <w:t>Comparison of ICR approaches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sz w:val="20"/>
              </w:rPr>
              <w:t>Analysis</w:t>
            </w:r>
          </w:p>
        </w:tc>
        <w:tc>
          <w:tcPr>
            <w:tcW w:type="dxa" w:w="2351"/>
          </w:tcPr>
          <w:p>
            <w:r>
              <w:rPr>
                <w:rFonts w:ascii="Times New Roman" w:hAnsi="Times New Roman"/>
                <w:b/>
                <w:sz w:val="20"/>
              </w:rPr>
              <w:t>ICR Measure</w:t>
            </w:r>
          </w:p>
        </w:tc>
        <w:tc>
          <w:tcPr>
            <w:tcW w:type="dxa" w:w="2351"/>
          </w:tcPr>
          <w:p>
            <w:r>
              <w:rPr>
                <w:rFonts w:ascii="Times New Roman" w:hAnsi="Times New Roman"/>
                <w:b/>
                <w:sz w:val="20"/>
              </w:rPr>
              <w:t>Variation (CV)</w:t>
            </w:r>
          </w:p>
        </w:tc>
        <w:tc>
          <w:tcPr>
            <w:tcW w:type="dxa" w:w="2351"/>
          </w:tcPr>
          <w:p>
            <w:r>
              <w:rPr>
                <w:rFonts w:ascii="Times New Roman" w:hAnsi="Times New Roman"/>
                <w:b/>
                <w:sz w:val="20"/>
              </w:rPr>
              <w:t>Association with Outcome</w:t>
            </w:r>
          </w:p>
        </w:tc>
      </w:tr>
      <w:tr>
        <w:tc>
          <w:tcPr>
            <w:tcW w:type="dxa" w:w="2351"/>
          </w:tcPr>
          <w:p>
            <w:r>
              <w:rPr>
                <w:rFonts w:ascii="Times New Roman" w:hAnsi="Times New Roman"/>
                <w:sz w:val="20"/>
              </w:rPr>
              <w:t>Statin therapy</w:t>
            </w:r>
          </w:p>
        </w:tc>
        <w:tc>
          <w:tcPr>
            <w:tcW w:type="dxa" w:w="2351"/>
          </w:tcPr>
          <w:p>
            <w:r>
              <w:rPr>
                <w:rFonts w:ascii="Times New Roman" w:hAnsi="Times New Roman"/>
                <w:sz w:val="20"/>
              </w:rPr>
              <w:t>ICR_std (Approach 1)</w:t>
            </w:r>
          </w:p>
        </w:tc>
        <w:tc>
          <w:tcPr>
            <w:tcW w:type="dxa" w:w="2351"/>
          </w:tcPr>
          <w:p>
            <w:r>
              <w:rPr>
                <w:rFonts w:ascii="Times New Roman" w:hAnsi="Times New Roman"/>
                <w:sz w:val="20"/>
              </w:rPr>
              <w:t>0.041</w:t>
            </w:r>
          </w:p>
        </w:tc>
        <w:tc>
          <w:tcPr>
            <w:tcW w:type="dxa" w:w="2351"/>
          </w:tcPr>
          <w:p>
            <w:r>
              <w:rPr>
                <w:rFonts w:ascii="Times New Roman" w:hAnsi="Times New Roman"/>
                <w:sz w:val="20"/>
              </w:rPr>
              <w:t>I-sq = 0.0% (stable)</w:t>
            </w:r>
          </w:p>
        </w:tc>
      </w:tr>
      <w:tr>
        <w:tc>
          <w:tcPr>
            <w:tcW w:type="dxa" w:w="2351"/>
          </w:tcPr>
          <w:p>
            <w:r>
              <w:rPr>
                <w:rFonts w:ascii="Times New Roman" w:hAnsi="Times New Roman"/>
                <w:sz w:val="20"/>
              </w:rPr>
              <w:t>Glucose control</w:t>
            </w:r>
          </w:p>
        </w:tc>
        <w:tc>
          <w:tcPr>
            <w:tcW w:type="dxa" w:w="2351"/>
          </w:tcPr>
          <w:p>
            <w:r>
              <w:rPr>
                <w:rFonts w:ascii="Times New Roman" w:hAnsi="Times New Roman"/>
                <w:sz w:val="20"/>
              </w:rPr>
              <w:t>ICR_std (Approach 1)</w:t>
            </w:r>
          </w:p>
        </w:tc>
        <w:tc>
          <w:tcPr>
            <w:tcW w:type="dxa" w:w="2351"/>
          </w:tcPr>
          <w:p>
            <w:r>
              <w:rPr>
                <w:rFonts w:ascii="Times New Roman" w:hAnsi="Times New Roman"/>
                <w:sz w:val="20"/>
              </w:rPr>
              <w:t>0.240</w:t>
            </w:r>
          </w:p>
        </w:tc>
        <w:tc>
          <w:tcPr>
            <w:tcW w:type="dxa" w:w="2351"/>
          </w:tcPr>
          <w:p>
            <w:r>
              <w:rPr>
                <w:rFonts w:ascii="Times New Roman" w:hAnsi="Times New Roman"/>
                <w:sz w:val="20"/>
              </w:rPr>
              <w:t>I-sq = 17.0% (heterogeneous)</w:t>
            </w:r>
          </w:p>
        </w:tc>
      </w:tr>
      <w:tr>
        <w:tc>
          <w:tcPr>
            <w:tcW w:type="dxa" w:w="2351"/>
          </w:tcPr>
          <w:p>
            <w:r>
              <w:rPr>
                <w:rFonts w:ascii="Times New Roman" w:hAnsi="Times New Roman"/>
                <w:sz w:val="20"/>
              </w:rPr>
              <w:t>IST (loading)</w:t>
            </w:r>
          </w:p>
        </w:tc>
        <w:tc>
          <w:tcPr>
            <w:tcW w:type="dxa" w:w="2351"/>
          </w:tcPr>
          <w:p>
            <w:r>
              <w:rPr>
                <w:rFonts w:ascii="Times New Roman" w:hAnsi="Times New Roman"/>
                <w:sz w:val="20"/>
              </w:rPr>
              <w:t>ICR_pca (Approach 2)</w:t>
            </w:r>
          </w:p>
        </w:tc>
        <w:tc>
          <w:tcPr>
            <w:tcW w:type="dxa" w:w="2351"/>
          </w:tcPr>
          <w:p>
            <w:r>
              <w:rPr>
                <w:rFonts w:ascii="Times New Roman" w:hAnsi="Times New Roman"/>
                <w:sz w:val="20"/>
              </w:rPr>
              <w:t>0.360</w:t>
            </w:r>
          </w:p>
        </w:tc>
        <w:tc>
          <w:tcPr>
            <w:tcW w:type="dxa" w:w="2351"/>
          </w:tcPr>
          <w:p>
            <w:r>
              <w:rPr>
                <w:rFonts w:ascii="Times New Roman" w:hAnsi="Times New Roman"/>
                <w:sz w:val="20"/>
              </w:rPr>
              <w:t>r = 0.27 with mortality</w:t>
            </w:r>
          </w:p>
        </w:tc>
      </w:tr>
      <w:tr>
        <w:tc>
          <w:tcPr>
            <w:tcW w:type="dxa" w:w="2351"/>
          </w:tcPr>
          <w:p>
            <w:r>
              <w:rPr>
                <w:rFonts w:ascii="Times New Roman" w:hAnsi="Times New Roman"/>
                <w:sz w:val="20"/>
              </w:rPr>
              <w:t>IST (regression)</w:t>
            </w:r>
          </w:p>
        </w:tc>
        <w:tc>
          <w:tcPr>
            <w:tcW w:type="dxa" w:w="2351"/>
          </w:tcPr>
          <w:p>
            <w:r>
              <w:rPr>
                <w:rFonts w:ascii="Times New Roman" w:hAnsi="Times New Roman"/>
                <w:sz w:val="20"/>
              </w:rPr>
              <w:t>ICR_pca_reg (Approach 2)</w:t>
            </w:r>
          </w:p>
        </w:tc>
        <w:tc>
          <w:tcPr>
            <w:tcW w:type="dxa" w:w="2351"/>
          </w:tcPr>
          <w:p>
            <w:r>
              <w:rPr>
                <w:rFonts w:ascii="Times New Roman" w:hAnsi="Times New Roman"/>
                <w:sz w:val="20"/>
              </w:rPr>
              <w:t>0.329</w:t>
            </w:r>
          </w:p>
        </w:tc>
        <w:tc>
          <w:tcPr>
            <w:tcW w:type="dxa" w:w="2351"/>
          </w:tcPr>
          <w:p>
            <w:r>
              <w:rPr>
                <w:rFonts w:ascii="Times New Roman" w:hAnsi="Times New Roman"/>
                <w:sz w:val="20"/>
              </w:rPr>
              <w:t>r = 0.90 with mortality</w:t>
            </w:r>
          </w:p>
        </w:tc>
      </w:tr>
    </w:tbl>
    <w:p>
      <w:pPr>
        <w:spacing w:line="480" w:lineRule="auto"/>
      </w:pPr>
      <w:r>
        <w:rPr>
          <w:rFonts w:ascii="Times New Roman" w:hAnsi="Times New Roman"/>
          <w:b w:val="0"/>
          <w:i/>
          <w:sz w:val="24"/>
        </w:rPr>
        <w:t>Table 8. Summary comparison of ICR approaches.</w:t>
      </w:r>
    </w:p>
    <w:p>
      <w:r>
        <w:br w:type="page"/>
      </w:r>
    </w:p>
    <w:p>
      <w:pPr>
        <w:pStyle w:val="Heading1"/>
      </w:pPr>
      <w:r>
        <w:rPr>
          <w:rFonts w:ascii="Times New Roman" w:hAnsi="Times New Roman"/>
          <w:color w:val="000000"/>
        </w:rPr>
        <w:t>Discussion</w:t>
      </w:r>
    </w:p>
    <w:p>
      <w:pPr>
        <w:pStyle w:val="Heading2"/>
      </w:pPr>
      <w:r>
        <w:rPr>
          <w:rFonts w:ascii="Times New Roman" w:hAnsi="Times New Roman"/>
          <w:color w:val="000000"/>
        </w:rPr>
        <w:t>Principal findings</w:t>
      </w:r>
    </w:p>
    <w:p>
      <w:pPr>
        <w:spacing w:line="480" w:lineRule="auto"/>
      </w:pPr>
      <w:r>
        <w:rPr>
          <w:rFonts w:ascii="Times New Roman" w:hAnsi="Times New Roman"/>
          <w:b w:val="0"/>
          <w:i w:val="0"/>
          <w:sz w:val="24"/>
        </w:rPr>
        <w:t>This study introduces the LINKO framework and its Information Contribution Ratio (ICR) as a novel diagnostic for meta-analysis validity, with two complementary approaches and the Prism Forest Plot visualization. Our principal findings are fourfold. First, ICR is computable from published data: using Table 1 summary statistics, ICR_v can be calculated for any RCT. Second, ICR discrepancy associates with heterogeneity: both simulation and real-world analyses suggest greater ICR variation is associated with increased I-squared. Third, PCA-based ICR captures meaningful variation: even within a single trial, ICR_pca varies substantially and correlates strongly with clinical outcomes (r = 0.90). Fourth, the Prism Forest Plot provides an intuitive visualization that immediately reveals structural heterogeneity invisible in standard forest plots.</w:t>
      </w:r>
    </w:p>
    <w:p>
      <w:pPr>
        <w:pStyle w:val="Heading2"/>
      </w:pPr>
      <w:r>
        <w:rPr>
          <w:rFonts w:ascii="Times New Roman" w:hAnsi="Times New Roman"/>
          <w:color w:val="000000"/>
        </w:rPr>
        <w:t>Comparison with existing literature</w:t>
      </w:r>
    </w:p>
    <w:p>
      <w:pPr>
        <w:spacing w:line="480" w:lineRule="auto"/>
      </w:pPr>
      <w:r>
        <w:rPr>
          <w:rFonts w:ascii="Times New Roman" w:hAnsi="Times New Roman"/>
          <w:b w:val="0"/>
          <w:i w:val="0"/>
          <w:sz w:val="24"/>
        </w:rPr>
        <w:t>Standard sources of meta-analysis heterogeneity include clinical diversity, methodological diversity, and statistical heterogeneity [2]. LINKO introduces a fourth source: structural diversity in data dimensionality. This has parallels in high-dimensional statistics [17] but has not previously been applied to meta-analysis. The Prism Forest Plot extends the growing family of enhanced forest plots (e.g., rain forest plots, contour-enhanced funnel plots) by adding the ICR dimension.</w:t>
      </w:r>
    </w:p>
    <w:p>
      <w:pPr>
        <w:pStyle w:val="Heading2"/>
      </w:pPr>
      <w:r>
        <w:rPr>
          <w:rFonts w:ascii="Times New Roman" w:hAnsi="Times New Roman"/>
          <w:color w:val="000000"/>
        </w:rPr>
        <w:t>Strengths and limitations</w:t>
      </w:r>
    </w:p>
    <w:p>
      <w:pPr>
        <w:spacing w:line="480" w:lineRule="auto"/>
      </w:pPr>
      <w:r>
        <w:rPr>
          <w:rFonts w:ascii="Times New Roman" w:hAnsi="Times New Roman"/>
          <w:b w:val="0"/>
          <w:i w:val="0"/>
          <w:sz w:val="24"/>
        </w:rPr>
        <w:t>Strengths: (1) dual approach provides practical (ICR_v) and theoretically grounded (ICR_pca) methods; (2) real-world data grounds the framework in clinical reality; (3) IST validation uses a large, public dataset; (4) leave-one-out analysis confirms robustness; (5) the Prism Forest Plot provides an intuitive visualization.</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Limitations: (1) simulation produces modest effects (I-squared difference 0.7pp); (2) real-world examples use reconstructed Table 1 data; (3) ICR_raw near zero for binary endpoints with low event rates; (4) IST uses country sub-studies from one trial, not independent trials; (5) loading threshold of 0.3 is conventional but arbitrary; (6) r = 0.90 computed across only 8 data points.</w:t>
      </w:r>
    </w:p>
    <w:p>
      <w:pPr>
        <w:pStyle w:val="Heading2"/>
      </w:pPr>
      <w:r>
        <w:rPr>
          <w:rFonts w:ascii="Times New Roman" w:hAnsi="Times New Roman"/>
          <w:color w:val="000000"/>
        </w:rPr>
        <w:t>Implications for practice</w:t>
      </w:r>
    </w:p>
    <w:p>
      <w:pPr>
        <w:spacing w:line="480" w:lineRule="auto"/>
      </w:pPr>
      <w:r>
        <w:rPr>
          <w:rFonts w:ascii="Times New Roman" w:hAnsi="Times New Roman"/>
          <w:b w:val="0"/>
          <w:i w:val="0"/>
          <w:sz w:val="24"/>
        </w:rPr>
        <w:t>We recommend: (1) compute ICR_std for each study and report ICRD alongside I-squared; (2) use the Prism Forest Plot to visualize ICR variation; (3) investigate dimensional differences when ICRD is large; (4) consider ICR-based sensitivity analyses; (5) harmonize data collection in multi-center RCTs to reduce ICRD.</w:t>
      </w:r>
    </w:p>
    <w:p>
      <w:pPr>
        <w:pStyle w:val="Heading2"/>
      </w:pPr>
      <w:r>
        <w:rPr>
          <w:rFonts w:ascii="Times New Roman" w:hAnsi="Times New Roman"/>
          <w:color w:val="000000"/>
        </w:rPr>
        <w:t>Future directions</w:t>
      </w:r>
    </w:p>
    <w:p>
      <w:pPr>
        <w:spacing w:line="480" w:lineRule="auto"/>
      </w:pPr>
      <w:r>
        <w:rPr>
          <w:rFonts w:ascii="Times New Roman" w:hAnsi="Times New Roman"/>
          <w:b w:val="0"/>
          <w:i w:val="0"/>
          <w:sz w:val="24"/>
        </w:rPr>
        <w:t>Future work: (1) multi-trial IPD validation; (2) large-scale Cochrane review study; (3) formal causal framework; (4) ICR-weighted meta-analysis methods; (5) interactive Prism Forest Plot software tool.</w:t>
      </w:r>
    </w:p>
    <w:p>
      <w:r>
        <w:br w:type="page"/>
      </w:r>
    </w:p>
    <w:p>
      <w:pPr>
        <w:pStyle w:val="Heading1"/>
      </w:pPr>
      <w:r>
        <w:rPr>
          <w:rFonts w:ascii="Times New Roman" w:hAnsi="Times New Roman"/>
          <w:color w:val="000000"/>
        </w:rPr>
        <w:t>Conclusions</w:t>
      </w:r>
    </w:p>
    <w:p>
      <w:pPr>
        <w:spacing w:line="480" w:lineRule="auto"/>
      </w:pPr>
      <w:r>
        <w:rPr>
          <w:rFonts w:ascii="Times New Roman" w:hAnsi="Times New Roman"/>
          <w:b w:val="0"/>
          <w:i w:val="0"/>
          <w:sz w:val="24"/>
        </w:rPr>
        <w:t>We have introduced the LINKO (Latent Information Normalization for Key Outcomes) framework, centered on the Information Contribution Ratio (ICR) and the Prism Forest Plot visualization, as novel diagnostic tools for assessing meta-analysis validity. ICR quantifies how much of a study's total information is captured by its endpoint. Our simulation demonstrates the theoretical mechanism, our real-world analysis shows consistency with known heterogeneity patterns, our PCA validation confirms meaningful ICR variation (r = 0.90, robust in leave-one-out analysis), and the Prism Forest Plot enables immediate visual assessment. We recommend that ICR discrepancy and the Prism Forest Plot be reported as supplementary diagnostics in meta-analyses to improve transparency and interpretability of evidence synthesis.</w:t>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Ethics approval and consent to participate</w:t>
      </w:r>
    </w:p>
    <w:p>
      <w:pPr>
        <w:spacing w:line="480" w:lineRule="auto"/>
      </w:pPr>
      <w:r>
        <w:rPr>
          <w:rFonts w:ascii="Times New Roman" w:hAnsi="Times New Roman"/>
          <w:b w:val="0"/>
          <w:i w:val="0"/>
          <w:sz w:val="24"/>
        </w:rPr>
        <w:t>Not applicable. This study uses simulation data and a publicly available, de-identified dataset (IST).</w:t>
      </w:r>
    </w:p>
    <w:p>
      <w:pPr>
        <w:pStyle w:val="Heading2"/>
      </w:pPr>
      <w:r>
        <w:rPr>
          <w:rFonts w:ascii="Times New Roman" w:hAnsi="Times New Roman"/>
          <w:color w:val="000000"/>
        </w:rPr>
        <w:t>Consent for publication</w:t>
      </w:r>
    </w:p>
    <w:p>
      <w:pPr>
        <w:spacing w:line="480" w:lineRule="auto"/>
      </w:pPr>
      <w:r>
        <w:rPr>
          <w:rFonts w:ascii="Times New Roman" w:hAnsi="Times New Roman"/>
          <w:b w:val="0"/>
          <w:i w:val="0"/>
          <w:sz w:val="24"/>
        </w:rPr>
        <w:t>Not applicable.</w:t>
      </w:r>
    </w:p>
    <w:p>
      <w:pPr>
        <w:pStyle w:val="Heading2"/>
      </w:pPr>
      <w:r>
        <w:rPr>
          <w:rFonts w:ascii="Times New Roman" w:hAnsi="Times New Roman"/>
          <w:color w:val="000000"/>
        </w:rPr>
        <w:t>Data Availability Statement</w:t>
      </w:r>
    </w:p>
    <w:p>
      <w:pPr>
        <w:spacing w:line="480" w:lineRule="auto"/>
      </w:pPr>
      <w:r>
        <w:rPr>
          <w:rFonts w:ascii="Times New Roman" w:hAnsi="Times New Roman"/>
          <w:b w:val="0"/>
          <w:i w:val="0"/>
          <w:sz w:val="24"/>
        </w:rPr>
        <w:t>The IST dataset is publicly available from the University of Edinburgh (https://datashare.ed.ac.uk/handle/10283/128). All analysis code is available at: https://github.com/bougtoir/wip/tree/devin/1774353301-icr-paper/icr_paper</w:t>
      </w:r>
    </w:p>
    <w:p>
      <w:pPr>
        <w:pStyle w:val="Heading2"/>
      </w:pPr>
      <w:r>
        <w:rPr>
          <w:rFonts w:ascii="Times New Roman" w:hAnsi="Times New Roman"/>
          <w:color w:val="000000"/>
        </w:rPr>
        <w:t>Competing Interests</w:t>
      </w:r>
    </w:p>
    <w:p>
      <w:pPr>
        <w:spacing w:line="480" w:lineRule="auto"/>
      </w:pPr>
      <w:r>
        <w:rPr>
          <w:rFonts w:ascii="Times New Roman" w:hAnsi="Times New Roman"/>
          <w:b w:val="0"/>
          <w:i w:val="0"/>
          <w:sz w:val="24"/>
        </w:rPr>
        <w:t>The authors declare no competing interests.</w:t>
      </w:r>
    </w:p>
    <w:p>
      <w:pPr>
        <w:pStyle w:val="Heading2"/>
      </w:pPr>
      <w:r>
        <w:rPr>
          <w:rFonts w:ascii="Times New Roman" w:hAnsi="Times New Roman"/>
          <w:color w:val="000000"/>
        </w:rPr>
        <w:t>Funding</w:t>
      </w:r>
    </w:p>
    <w:p>
      <w:pPr>
        <w:spacing w:line="480" w:lineRule="auto"/>
      </w:pPr>
      <w:r>
        <w:rPr>
          <w:rFonts w:ascii="Times New Roman" w:hAnsi="Times New Roman"/>
          <w:b w:val="0"/>
          <w:i w:val="0"/>
          <w:sz w:val="24"/>
        </w:rPr>
        <w:t>[To be completed]</w:t>
      </w:r>
    </w:p>
    <w:p>
      <w:pPr>
        <w:pStyle w:val="Heading2"/>
      </w:pPr>
      <w:r>
        <w:rPr>
          <w:rFonts w:ascii="Times New Roman" w:hAnsi="Times New Roman"/>
          <w:color w:val="000000"/>
        </w:rPr>
        <w:t>Authors' Contributions (CRediT Taxonomy)</w:t>
      </w:r>
    </w:p>
    <w:p>
      <w:pPr>
        <w:spacing w:line="480" w:lineRule="auto"/>
      </w:pPr>
      <w:r>
        <w:rPr>
          <w:rFonts w:ascii="Times New Roman" w:hAnsi="Times New Roman"/>
          <w:b w:val="0"/>
          <w:i w:val="0"/>
          <w:sz w:val="24"/>
        </w:rPr>
        <w:t>[To be completed. Example: Conceptualization: T.O.; Methodology: T.O.; Software: T.O.; Formal analysis: T.O.; Writing - original draft: T.O.; Writing - review &amp; editing: T.O.]</w:t>
      </w:r>
    </w:p>
    <w:p>
      <w:pPr>
        <w:pStyle w:val="Heading2"/>
      </w:pPr>
      <w:r>
        <w:rPr>
          <w:rFonts w:ascii="Times New Roman" w:hAnsi="Times New Roman"/>
          <w:color w:val="000000"/>
        </w:rPr>
        <w:t>Acknowledgements</w:t>
      </w:r>
    </w:p>
    <w:p>
      <w:pPr>
        <w:spacing w:line="480" w:lineRule="auto"/>
      </w:pPr>
      <w:r>
        <w:rPr>
          <w:rFonts w:ascii="Times New Roman" w:hAnsi="Times New Roman"/>
          <w:b w:val="0"/>
          <w:i w:val="0"/>
          <w:sz w:val="24"/>
        </w:rPr>
        <w:t>[To be completed]</w:t>
      </w:r>
    </w:p>
    <w:p>
      <w:r>
        <w:br w:type="page"/>
      </w:r>
    </w:p>
    <w:p>
      <w:pPr>
        <w:pStyle w:val="Heading1"/>
      </w:pPr>
      <w:r>
        <w:rPr>
          <w:rFonts w:ascii="Times New Roman" w:hAnsi="Times New Roman"/>
          <w:color w:val="000000"/>
        </w:rPr>
        <w:t>References</w:t>
      </w:r>
    </w:p>
    <w:p>
      <w:pPr>
        <w:spacing w:line="480" w:lineRule="auto"/>
      </w:pPr>
      <w:r>
        <w:rPr>
          <w:rFonts w:ascii="Times New Roman" w:hAnsi="Times New Roman"/>
          <w:b w:val="0"/>
          <w:i w:val="0"/>
          <w:sz w:val="24"/>
        </w:rPr>
        <w:t>1. Higgins JPT, Thompson SG, Deeks JJ, Altman DG. Measuring inconsistency in meta-analyses. BMJ. 2003;327(7414):557-560.</w:t>
      </w:r>
    </w:p>
    <w:p>
      <w:pPr>
        <w:spacing w:line="480" w:lineRule="auto"/>
      </w:pPr>
      <w:r>
        <w:rPr>
          <w:rFonts w:ascii="Times New Roman" w:hAnsi="Times New Roman"/>
          <w:b w:val="0"/>
          <w:i w:val="0"/>
          <w:sz w:val="24"/>
        </w:rPr>
        <w:t>2. Higgins JPT, Thomas J, Chandler J, et al. Cochrane Handbook for Systematic Reviews of Interventions. Version 6.3. Cochrane; 2022.</w:t>
      </w:r>
    </w:p>
    <w:p>
      <w:pPr>
        <w:spacing w:line="480" w:lineRule="auto"/>
      </w:pPr>
      <w:r>
        <w:rPr>
          <w:rFonts w:ascii="Times New Roman" w:hAnsi="Times New Roman"/>
          <w:b w:val="0"/>
          <w:i w:val="0"/>
          <w:sz w:val="24"/>
        </w:rPr>
        <w:t>3. Morris TP, White IR, Crowther MJ. Using simulation studies to evaluate statistical methods. Stat Med. 2019;38(11):2074-2102.</w:t>
      </w:r>
    </w:p>
    <w:p>
      <w:pPr>
        <w:spacing w:line="480" w:lineRule="auto"/>
      </w:pPr>
      <w:r>
        <w:rPr>
          <w:rFonts w:ascii="Times New Roman" w:hAnsi="Times New Roman"/>
          <w:b w:val="0"/>
          <w:i w:val="0"/>
          <w:sz w:val="24"/>
        </w:rPr>
        <w:t>4. Siepe BS, Bartos F, Morris TP, et al. Simulation studies for methodological research in psychology. Psychol Methods. 2024.</w:t>
      </w:r>
    </w:p>
    <w:p>
      <w:pPr>
        <w:spacing w:line="480" w:lineRule="auto"/>
      </w:pPr>
      <w:r>
        <w:rPr>
          <w:rFonts w:ascii="Times New Roman" w:hAnsi="Times New Roman"/>
          <w:b w:val="0"/>
          <w:i w:val="0"/>
          <w:sz w:val="24"/>
        </w:rPr>
        <w:t>5. DerSimonian R, Laird N. Meta-analysis in clinical trials. Control Clin Trials. 1986;7(3):177-188.</w:t>
      </w:r>
    </w:p>
    <w:p>
      <w:pPr>
        <w:spacing w:line="480" w:lineRule="auto"/>
      </w:pPr>
      <w:r>
        <w:rPr>
          <w:rFonts w:ascii="Times New Roman" w:hAnsi="Times New Roman"/>
          <w:b w:val="0"/>
          <w:i w:val="0"/>
          <w:sz w:val="24"/>
        </w:rPr>
        <w:t>6. Scandinavian Simvastatin Survival Study Group. Randomised trial of cholesterol lowering in 4444 patients (4S). Lancet. 1994;344:1383-1389.</w:t>
      </w:r>
    </w:p>
    <w:p>
      <w:pPr>
        <w:spacing w:line="480" w:lineRule="auto"/>
      </w:pPr>
      <w:r>
        <w:rPr>
          <w:rFonts w:ascii="Times New Roman" w:hAnsi="Times New Roman"/>
          <w:b w:val="0"/>
          <w:i w:val="0"/>
          <w:sz w:val="24"/>
        </w:rPr>
        <w:t>7. Shepherd J, et al. Prevention of coronary heart disease with pravastatin (WOSCOPS). N Engl J Med. 1995;333:1301-1307.</w:t>
      </w:r>
    </w:p>
    <w:p>
      <w:pPr>
        <w:spacing w:line="480" w:lineRule="auto"/>
      </w:pPr>
      <w:r>
        <w:rPr>
          <w:rFonts w:ascii="Times New Roman" w:hAnsi="Times New Roman"/>
          <w:b w:val="0"/>
          <w:i w:val="0"/>
          <w:sz w:val="24"/>
        </w:rPr>
        <w:t>8. Sacks FM, et al. Effect of pravastatin on coronary events after MI (CARE). N Engl J Med. 1996;335:1001-1009.</w:t>
      </w:r>
    </w:p>
    <w:p>
      <w:pPr>
        <w:spacing w:line="480" w:lineRule="auto"/>
      </w:pPr>
      <w:r>
        <w:rPr>
          <w:rFonts w:ascii="Times New Roman" w:hAnsi="Times New Roman"/>
          <w:b w:val="0"/>
          <w:i w:val="0"/>
          <w:sz w:val="24"/>
        </w:rPr>
        <w:t>9. LIPID Study Group. Prevention of cardiovascular events with pravastatin (LIPID). N Engl J Med. 1998;339:1349-1357.</w:t>
      </w:r>
    </w:p>
    <w:p>
      <w:pPr>
        <w:spacing w:line="480" w:lineRule="auto"/>
      </w:pPr>
      <w:r>
        <w:rPr>
          <w:rFonts w:ascii="Times New Roman" w:hAnsi="Times New Roman"/>
          <w:b w:val="0"/>
          <w:i w:val="0"/>
          <w:sz w:val="24"/>
        </w:rPr>
        <w:t>10. Downs JR, et al. Primary prevention of acute coronary events with lovastatin (AFCAPS/TexCAPS). JAMA. 1998;279:1615-1622.</w:t>
      </w:r>
    </w:p>
    <w:p>
      <w:pPr>
        <w:spacing w:line="480" w:lineRule="auto"/>
      </w:pPr>
      <w:r>
        <w:rPr>
          <w:rFonts w:ascii="Times New Roman" w:hAnsi="Times New Roman"/>
          <w:b w:val="0"/>
          <w:i w:val="0"/>
          <w:sz w:val="24"/>
        </w:rPr>
        <w:t>11. UKPDS Group. Intensive blood-glucose control (UKPDS 33). Lancet. 1998;352:837-853.</w:t>
      </w:r>
    </w:p>
    <w:p>
      <w:pPr>
        <w:spacing w:line="480" w:lineRule="auto"/>
      </w:pPr>
      <w:r>
        <w:rPr>
          <w:rFonts w:ascii="Times New Roman" w:hAnsi="Times New Roman"/>
          <w:b w:val="0"/>
          <w:i w:val="0"/>
          <w:sz w:val="24"/>
        </w:rPr>
        <w:t>12. ACCORD Study Group. Effects of intensive glucose lowering in type 2 diabetes. N Engl J Med. 2008;358:2545-2559.</w:t>
      </w:r>
    </w:p>
    <w:p>
      <w:pPr>
        <w:spacing w:line="480" w:lineRule="auto"/>
      </w:pPr>
      <w:r>
        <w:rPr>
          <w:rFonts w:ascii="Times New Roman" w:hAnsi="Times New Roman"/>
          <w:b w:val="0"/>
          <w:i w:val="0"/>
          <w:sz w:val="24"/>
        </w:rPr>
        <w:t>13. ADVANCE Collaborative Group. Intensive blood glucose control (ADVANCE). N Engl J Med. 2008;358:2560-2572.</w:t>
      </w:r>
    </w:p>
    <w:p>
      <w:pPr>
        <w:spacing w:line="480" w:lineRule="auto"/>
      </w:pPr>
      <w:r>
        <w:rPr>
          <w:rFonts w:ascii="Times New Roman" w:hAnsi="Times New Roman"/>
          <w:b w:val="0"/>
          <w:i w:val="0"/>
          <w:sz w:val="24"/>
        </w:rPr>
        <w:t>14. Duckworth W, et al. Glucose control and vascular complications in veterans (VADT). N Engl J Med. 2009;360:129-139.</w:t>
      </w:r>
    </w:p>
    <w:p>
      <w:pPr>
        <w:spacing w:line="480" w:lineRule="auto"/>
      </w:pPr>
      <w:r>
        <w:rPr>
          <w:rFonts w:ascii="Times New Roman" w:hAnsi="Times New Roman"/>
          <w:b w:val="0"/>
          <w:i w:val="0"/>
          <w:sz w:val="24"/>
        </w:rPr>
        <w:t>15. International Stroke Trial Collaborative Group. The IST. Lancet. 1997;349:1569-1581.</w:t>
      </w:r>
    </w:p>
    <w:p>
      <w:pPr>
        <w:spacing w:line="480" w:lineRule="auto"/>
      </w:pPr>
      <w:r>
        <w:rPr>
          <w:rFonts w:ascii="Times New Roman" w:hAnsi="Times New Roman"/>
          <w:b w:val="0"/>
          <w:i w:val="0"/>
          <w:sz w:val="24"/>
        </w:rPr>
        <w:t>16. Sandercock PAG, et al. The IST database. Trials. 2011;12:101.</w:t>
      </w:r>
    </w:p>
    <w:p>
      <w:pPr>
        <w:spacing w:line="480" w:lineRule="auto"/>
      </w:pPr>
      <w:r>
        <w:rPr>
          <w:rFonts w:ascii="Times New Roman" w:hAnsi="Times New Roman"/>
          <w:b w:val="0"/>
          <w:i w:val="0"/>
          <w:sz w:val="24"/>
        </w:rPr>
        <w:t>17. Donoho DL. High-dimensional data analysis: curses and blessings of dimensionality. AMS Math Challenges Lecture. 2000:1-32.</w:t>
      </w:r>
    </w:p>
    <w:p>
      <w:pPr>
        <w:spacing w:line="480" w:lineRule="auto"/>
      </w:pPr>
      <w:r>
        <w:rPr>
          <w:rFonts w:ascii="Times New Roman" w:hAnsi="Times New Roman"/>
          <w:b w:val="0"/>
          <w:i w:val="0"/>
          <w:sz w:val="24"/>
        </w:rPr>
        <w:t>18. Schild AHE, Voracek M. Less is less: a systematic review of graph use in meta-analyses. Res Synth Methods. 2013;4(3):209-219.</w:t>
      </w:r>
    </w:p>
    <w:p>
      <w:pPr>
        <w:spacing w:line="480" w:lineRule="auto"/>
      </w:pPr>
      <w:r>
        <w:rPr>
          <w:rFonts w:ascii="Times New Roman" w:hAnsi="Times New Roman"/>
          <w:b w:val="0"/>
          <w:i w:val="0"/>
          <w:sz w:val="24"/>
        </w:rPr>
        <w:t>19. Peters JL, Sutton AJ, Jones DR, Abrams KR, Rushton L. Contour-enhanced meta-analysis funnel plots. J Clin Epidemiol. 2008;61(10):991-996.</w:t>
      </w:r>
    </w:p>
    <w:p>
      <w:pPr>
        <w:spacing w:line="480" w:lineRule="auto"/>
      </w:pPr>
      <w:r>
        <w:rPr>
          <w:rFonts w:ascii="Times New Roman" w:hAnsi="Times New Roman"/>
          <w:b w:val="0"/>
          <w:i w:val="0"/>
          <w:sz w:val="24"/>
        </w:rPr>
        <w:t>20. Doi SAR, Barendregt JJ, Khan S, et al. Advances in the meta-analysis of heterogeneous clinical trials I. Contemp Clin Trials. 2015;45:130-138.</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