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arm,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and Figure 4 show the two collections as prism forest plots, in which the structural difference between the collections is visible alongside the effect estimates.</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Figure 4.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5).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(Table 7, Figure 6).</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5.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Figure 6. Leave-one-out recomputation of the association between each PCA-based ICR estimator and 14-day mortality across the eight country groups.</w:t>
      </w:r>
    </w:p>
    <w:p>
      <w:r>
        <w:rPr>
          <w:rFonts w:ascii="Times New Roman" w:hAnsi="Times New Roman"/>
          <w:i w:val="0"/>
        </w:rPr>
        <w:t>Figure 7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7.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8).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e8468666c99e).</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Table 7.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8.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