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Tables</w:t>
      </w:r>
    </w:p>
    <w:p>
      <w:pPr>
        <w:spacing w:before="240"/>
      </w:pPr>
      <w:r>
        <w:rPr>
          <w:rFonts w:ascii="Times New Roman" w:hAnsi="Times New Roman"/>
          <w:b/>
          <w:sz w:val="20"/>
        </w:rPr>
        <w:t>Table 1. Simulation results over 1000 repetitions, with Monte Carlo standard errors (MCSE). Scenario A: uniform ICR; Scenario B: heterogeneous ICR; negative control: heterogeneous ICR with no structural mechanism (500 repetitions).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Performance measure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Scenario 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Scenario 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Negative control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ICRD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0.0000 (MCSE 0.0000)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0.1740 (MCSE 0.0011)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0.1709 (MCSE 0.0017)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I-squared (%)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11.44 (MCSE 0.52)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11.04 (MCSE 0.53)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11.01 (MCSE 0.73)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tau-squared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0.0039 (MCSE 0.0002)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0.0038 (MCSE 0.0002)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0.0037 (MCSE 0.0003)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pooled effect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0.5020 (MCSE 0.0015)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0.4971 (MCSE 0.0014)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Bias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0.0020 (MCSE 0.0015)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-0.0029 (MCSE 0.0014)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Difference in I-squared (B - A), 95% Monte Carlo CI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-0.41 [-1.91, 1.10]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2. Effect of adding near-duplicate covariates on the ICR estimators (500 repetitions; means across repetitions). The effective dimension is the participation ratio of the correlation-matrix eigenvalues.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Redundant copies added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Counted variables 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Effective dimension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 (effective dimension)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0.0500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0.0529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11.97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0.0837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0.0400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0.0423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0.0333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0.0353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0.0890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0.0250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0.0265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0.0848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3. Statin trials: reported baseline variables, ICR estimators and all-cause mortality log risk ratios. Sources and provenance for every value are listed in the repository.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Trial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Participants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Log risk ratio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4S (1994)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4,444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1.72e-05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-0.370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WOSCOPS (1995)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6,595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6.44e-06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-0.250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CARE (1996)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4,159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2.13e-05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-0.100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LIPID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9,014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2.68e-05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-0.250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AFCAPS/TexCAPS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6,605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4.63e-06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-0.110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4. Intensive glucose-control trials: reported baseline variables, ICR estimators and all-cause mortality log risk ratios.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Trial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Participants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Log risk ratio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UKPDS 33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3,867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1.36e-03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-0.060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ACCORD (2008)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10,251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0.077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1.03e-04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+0.220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ADVANCE (2008)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11,140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7.00e-05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-0.070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VADT (2009)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1,791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4.72e-06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-0.020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5. Sensitivity of the pooled estimate to the between-study variance estimator and to the interval method, statin collection (upper block) and glucose-control collection (lower block). PI: 95% prediction interval.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tau-squared estimator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Interval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tau-squared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Pooled effect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95% PI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Glucose control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[-0.368, 0.362]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[-0.369, 0.362]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[-0.374, 0.368]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[-0.374, 0.368]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[-0.372, 0.366]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[-0.372, 0.366]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6. International Stroke Trial country groups: sample size, 14-day mortality and ICR estimators. ICR_std is identical across groups because the case-report form is common.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Country group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Patients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14-day mortality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ICR_pca (loading)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ICR_pca (regression)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Endpoint components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United Kingdom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5,787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28.6%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0.138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0.00162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Italy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3,112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20.0%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0.00153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Switzerland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1,631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23.1%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0.121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0.00135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Poland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759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29.6%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0.139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0.00230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Netherlands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728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18.3%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0.180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0.00136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Sweden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636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12.7%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0.096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0.00073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Australia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15.0%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0.00096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Argentina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545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21.8%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0.079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0.00157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Supplementary Table S1. Leave-one-out recomputation of the association between the PCA-based ICR estimators and 14-day mortality across the International Stroke Trial country groups.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Excluded group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Groups analysed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 (loading)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 (loading)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 (regression)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 (regression)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United Kingdom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0.169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0.717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0.954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&lt; 0.001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Italy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0.286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0.534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Switzerland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0.258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Poland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0.154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0.742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0.860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Netherlands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Sweden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0.659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0.843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Australia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0.555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Argentina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0.299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0.898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None (all countries)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7. Number of studies required before the pooled estimate excluded the null, by ordering strategy (500 repetitions of 15 simulated studies).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Ordering strategy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Mean studies to conclusive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Conclusive by 5 studies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Conclusive by 10 studies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Mean studies to I-squared &lt; 25%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Random order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3.94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81.4%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97.2%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3.19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ICR-matched first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3.91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78.0%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ICR-median-ordered (LINKO)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4.00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3.14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