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Impact of medical safety incidents on physician workforce and healthcare facility supply across 12 specialties in Japan: an interrupted time series analysis</w:t>
      </w:r>
    </w:p>
    <w:p>
      <w:pPr>
        <w:spacing w:after="120" w:line="480" w:lineRule="auto"/>
        <w:jc w:val="center"/>
      </w:pPr>
      <w:r>
        <w:rPr>
          <w:rFonts w:ascii="Times New Roman" w:hAnsi="Times New Roman"/>
          <w:b w:val="0"/>
          <w:i w:val="0"/>
          <w:sz w:val="24"/>
        </w:rPr>
        <w:t>Authors: Onishi Tatsuki</w:t>
      </w:r>
    </w:p>
    <w:p>
      <w:pPr>
        <w:spacing w:after="120" w:line="480" w:lineRule="auto"/>
        <w:jc w:val="center"/>
      </w:pPr>
      <w:r>
        <w:rPr>
          <w:rFonts w:ascii="Times New Roman" w:hAnsi="Times New Roman"/>
          <w:b w:val="0"/>
          <w:i w:val="0"/>
          <w:sz w:val="24"/>
        </w:rPr>
        <w:t>Correspondence to: Onishi Tatsuki</w:t>
        <w:br/>
        <w:t>Data Science AI Innovation Research Promotion Center, Shiga University</w:t>
        <w:br/>
        <w:t>1-1-1, Bamba, Hikone, Shiga, 522-8522 Japan</w:t>
      </w:r>
    </w:p>
    <w:p>
      <w:pPr>
        <w:spacing w:after="120" w:line="480" w:lineRule="auto"/>
        <w:jc w:val="center"/>
      </w:pPr>
      <w:r>
        <w:rPr>
          <w:rFonts w:ascii="Times New Roman" w:hAnsi="Times New Roman"/>
          <w:b w:val="0"/>
          <w:i/>
          <w:sz w:val="24"/>
        </w:rPr>
        <w:t>Word count: approximately 3 800 (excluding abstract, references, tables, and figures)</w:t>
      </w:r>
    </w:p>
    <w:p>
      <w:pPr>
        <w:spacing w:after="480" w:line="480" w:lineRule="auto"/>
        <w:jc w:val="center"/>
      </w:pPr>
      <w:r>
        <w:rPr>
          <w:rFonts w:ascii="Times New Roman" w:hAnsi="Times New Roman"/>
          <w:b w:val="0"/>
          <w:i/>
          <w:sz w:val="24"/>
        </w:rPr>
        <w:t>Keywords: medical accidents, physician supply, interrupted time series, workforce planning, Japan, patient safety</w:t>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Objective: </w:t>
      </w:r>
      <w:r>
        <w:rPr>
          <w:rFonts w:ascii="Times New Roman" w:hAnsi="Times New Roman"/>
          <w:sz w:val="24"/>
        </w:rPr>
        <w:t>To examine the association between medical safety incidents and changes in specialty-specific physician counts, healthcare facility numbers, and specialist trainee enrolment in Japan.</w:t>
      </w:r>
    </w:p>
    <w:p>
      <w:pPr>
        <w:spacing w:line="480" w:lineRule="auto" w:after="120"/>
      </w:pPr>
      <w:r>
        <w:rPr>
          <w:rFonts w:ascii="Times New Roman" w:hAnsi="Times New Roman"/>
          <w:b/>
          <w:sz w:val="24"/>
        </w:rPr>
        <w:t xml:space="preserve">Design: </w:t>
      </w:r>
      <w:r>
        <w:rPr>
          <w:rFonts w:ascii="Times New Roman" w:hAnsi="Times New Roman"/>
          <w:sz w:val="24"/>
        </w:rPr>
        <w:t>Interrupted time series analysis with segmented regression, cross-correlation analysis for lead time estimation, and Akaike information criterion (AIC)-based model selection for window period estimation. Reporting follows the REporting of studies Conducted using Observational Routinely-collected health Data (RECORD) guidelines.</w:t>
      </w:r>
    </w:p>
    <w:p>
      <w:pPr>
        <w:spacing w:line="480" w:lineRule="auto" w:after="120"/>
      </w:pPr>
      <w:r>
        <w:rPr>
          <w:rFonts w:ascii="Times New Roman" w:hAnsi="Times New Roman"/>
          <w:b/>
          <w:sz w:val="24"/>
        </w:rPr>
        <w:t xml:space="preserve">Setting: </w:t>
      </w:r>
      <w:r>
        <w:rPr>
          <w:rFonts w:ascii="Times New Roman" w:hAnsi="Times New Roman"/>
          <w:sz w:val="24"/>
        </w:rPr>
        <w:t>Japan, using national administrative databases.</w:t>
      </w:r>
    </w:p>
    <w:p>
      <w:pPr>
        <w:spacing w:line="480" w:lineRule="auto" w:after="120"/>
      </w:pPr>
      <w:r>
        <w:rPr>
          <w:rFonts w:ascii="Times New Roman" w:hAnsi="Times New Roman"/>
          <w:b/>
          <w:sz w:val="24"/>
        </w:rPr>
        <w:t xml:space="preserve">Participants: </w:t>
      </w:r>
      <w:r>
        <w:rPr>
          <w:rFonts w:ascii="Times New Roman" w:hAnsi="Times New Roman"/>
          <w:sz w:val="24"/>
        </w:rPr>
        <w:t>Physician workforce data from the National Survey of Physicians, Dentists, and Pharmacists (1994–2022, biennial); healthcare facility data from the Survey of Medical Institutions (2002–2024); specialist trainee data from the Japan Board of Medical Specialties (2018–2025). Twelve core medical specialties were analysed.</w:t>
      </w:r>
    </w:p>
    <w:p>
      <w:pPr>
        <w:spacing w:line="480" w:lineRule="auto" w:after="120"/>
      </w:pPr>
      <w:r>
        <w:rPr>
          <w:rFonts w:ascii="Times New Roman" w:hAnsi="Times New Roman"/>
          <w:b/>
          <w:sz w:val="24"/>
        </w:rPr>
        <w:t xml:space="preserve">Main outcome measures: </w:t>
      </w:r>
      <w:r>
        <w:rPr>
          <w:rFonts w:ascii="Times New Roman" w:hAnsi="Times New Roman"/>
          <w:sz w:val="24"/>
        </w:rPr>
        <w:t>Specialty-specific physician counts, healthcare facility counts, and new specialist trainee enrolment. The main exposure variables were medical safety incident counts derived from three definitions: (1) the Japan Medical Safety Research Organisation (JMSR) mandatory reporting system (2015–2025); (2) medical malpractice litigation statistics from the Supreme Court of Japan (2004–2023); and (3) a composite index combining both sources.</w:t>
      </w:r>
    </w:p>
    <w:p>
      <w:pPr>
        <w:spacing w:line="480" w:lineRule="auto" w:after="120"/>
      </w:pPr>
      <w:r>
        <w:rPr>
          <w:rFonts w:ascii="Times New Roman" w:hAnsi="Times New Roman"/>
          <w:b/>
          <w:sz w:val="24"/>
        </w:rPr>
        <w:t xml:space="preserve">Results: </w:t>
      </w:r>
      <w:r>
        <w:rPr>
          <w:rFonts w:ascii="Times New Roman" w:hAnsi="Times New Roman"/>
          <w:sz w:val="24"/>
        </w:rPr>
        <w:t>In cross-correlation analysis after detrending, obstetrics and gynaecology showed the strongest inverse association between incident reports and physician numbers across all three definitions (r=−0.95, lag +3 years). Additional specialties demonstrating strong delayed inverse associations (|r|&gt;0.9) included otolaryngology (r=−0.97, lag +6 years with litigation), dermatology (r=−0.99, lag +7 years), and urology (r=−0.94, lag +6 years with JMSR). The estimated lead time from incident occurrence to workforce impact averaged 1–3 years for physician counts but was near zero for facility counts. The estimated window period of the effect was 4–5 years on average. Segmented regression models demonstrated high goodness of fit (median R²=0.997). Linear trend projections forecast continued decline in general surgery (−260 physicians/year, −350 facilities/year) and obstetrics and gynaecology facilities (−65/year) through 2034, while emergency medicine and general practice trainee numbers are projected to increase.</w:t>
      </w:r>
    </w:p>
    <w:p>
      <w:pPr>
        <w:spacing w:line="480" w:lineRule="auto" w:after="120"/>
      </w:pPr>
      <w:r>
        <w:rPr>
          <w:rFonts w:ascii="Times New Roman" w:hAnsi="Times New Roman"/>
          <w:b/>
          <w:sz w:val="24"/>
        </w:rPr>
        <w:t xml:space="preserve">Conclusions: </w:t>
      </w:r>
      <w:r>
        <w:rPr>
          <w:rFonts w:ascii="Times New Roman" w:hAnsi="Times New Roman"/>
          <w:sz w:val="24"/>
        </w:rPr>
        <w:t>Medical safety incidents are followed by measurable reductions in specialty-specific physician supply, with a lead time of 1–3 years and effect duration of 4–5 years. Obstetrics and gynaecology and general surgery appear most vulnerable. These findings support proactive workforce planning that accounts for the downstream workforce effects of patient safety events.</w:t>
      </w:r>
    </w:p>
    <w:p>
      <w:r>
        <w:br w:type="page"/>
      </w:r>
    </w:p>
    <w:p>
      <w:pPr>
        <w:pStyle w:val="Heading2"/>
      </w:pPr>
      <w:r>
        <w:rPr>
          <w:rFonts w:ascii="Times New Roman" w:hAnsi="Times New Roman"/>
          <w:color w:val="000000"/>
        </w:rPr>
        <w:t>What is already known on this topic</w:t>
      </w:r>
    </w:p>
    <w:p>
      <w:pPr>
        <w:pStyle w:val="ListBullet"/>
        <w:spacing w:line="480" w:lineRule="auto"/>
      </w:pPr>
      <w:r>
        <w:rPr>
          <w:rFonts w:ascii="Times New Roman" w:hAnsi="Times New Roman"/>
          <w:sz w:val="24"/>
        </w:rPr>
        <w:t>Medical malpractice litigation has been associated with defensive medicine practices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quantified the temporal dynamics (lead time and duration) of the association between medical safety incidents and physician workforce changes across multiple specialties.</w:t>
      </w:r>
    </w:p>
    <w:p>
      <w:pPr>
        <w:pStyle w:val="Heading2"/>
      </w:pPr>
      <w:r>
        <w:rPr>
          <w:rFonts w:ascii="Times New Roman" w:hAnsi="Times New Roman"/>
          <w:color w:val="000000"/>
        </w:rPr>
        <w:t>What this study adds</w:t>
      </w:r>
    </w:p>
    <w:p>
      <w:pPr>
        <w:pStyle w:val="ListBullet"/>
        <w:spacing w:line="480" w:lineRule="auto"/>
      </w:pPr>
      <w:r>
        <w:rPr>
          <w:rFonts w:ascii="Times New Roman" w:hAnsi="Times New Roman"/>
          <w:sz w:val="24"/>
        </w:rPr>
        <w:t>This study provides the first multi-specialty interrupted time series analysis of medical safety incident effects on physician supply, facility counts, and trainee enrolment across 12 specialties in Japan, using three complementary incident definitions.</w:t>
      </w:r>
    </w:p>
    <w:p>
      <w:pPr>
        <w:pStyle w:val="ListBullet"/>
        <w:spacing w:line="480" w:lineRule="auto"/>
      </w:pPr>
      <w:r>
        <w:rPr>
          <w:rFonts w:ascii="Times New Roman" w:hAnsi="Times New Roman"/>
          <w:sz w:val="24"/>
        </w:rPr>
        <w:t>The estimated lead time of 1–3 years and window period of 4–5 years offer actionable parameters for workforce forecasting models.</w:t>
      </w:r>
    </w:p>
    <w:p>
      <w:pPr>
        <w:pStyle w:val="ListBullet"/>
        <w:spacing w:line="480" w:lineRule="auto"/>
      </w:pPr>
      <w:r>
        <w:rPr>
          <w:rFonts w:ascii="Times New Roman" w:hAnsi="Times New Roman"/>
          <w:sz w:val="24"/>
        </w:rPr>
        <w:t>Beyond the well-documented case of obstetrics, specialties including otolaryngology, dermatology, and urology showed strong delayed inverse associations between incidents and workforce supply—relationships not previously reported.</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decades,¹⁻³ yet quantitative evidence remains limited, geographically concentrated in the United States, and largely focused on tort reform rather than incident occurrence itself.⁴⁻⁶</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death.⁷ Although the physician was acquitted in 2008, the case precipitated widespread concern among physicians and is widely regarded as a catalyst for the subsequent decline in obstetricians willing to provide delivery services.⁸˙⁹ Morita estimated a 13% decrease in obstetricians in the affected prefecture using difference-in-differences and synthetic control methods.¹⁰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Iryo Anzen Chosa Kiko) was established in 2015 under a revision to the Medical Care Act, creating a mandatory reporting system for unexpected deaths potentially related to medical care.¹¹ Second, the Supreme Court of Japan publishes annual statistics on medical malpractice litigation by specialty.¹² Additionally, Japan conducts biennial national surveys of all practising physicians and maintains annual records of healthcare facility registrations by specialty—providing unusually detailed, population-level workforce data.</w:t>
      </w:r>
    </w:p>
    <w:p>
      <w:pPr>
        <w:spacing w:after="120" w:line="480" w:lineRule="auto"/>
      </w:pPr>
      <w:r>
        <w:rPr>
          <w:rFonts w:ascii="Times New Roman" w:hAnsi="Times New Roman"/>
          <w:b w:val="0"/>
          <w:i w:val="0"/>
          <w:sz w:val="24"/>
        </w:rPr>
        <w:t>We aimed to quantify the temporal association between medical safety incidents and changes in specialty-specific physician counts, healthcare facility numbers, and specialist trainee enrolment, and to estimate the lead time and duration of these associations to inform workforce planning.</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an interrupted time series (ITS) analysis using routinely collected national administrative data from Japan. This study is reported in accordance with the RECORD (REporting of studies Conducted using Observational Routinely-collected health Data) statement,¹³ which extends the STROBE guidelines, and the Cochrane Effective Practice and Organisation of Care (EPOC) criteria for interrupted time series studies.¹⁴ A completed RECORD checklist is provided in supplementary table S1.</w:t>
      </w:r>
    </w:p>
    <w:p>
      <w:pPr>
        <w:pStyle w:val="Heading2"/>
      </w:pPr>
      <w:r>
        <w:rPr>
          <w:rFonts w:ascii="Times New Roman" w:hAnsi="Times New Roman"/>
          <w:color w:val="000000"/>
        </w:rPr>
        <w:t>Data sources</w:t>
      </w:r>
    </w:p>
    <w:p>
      <w:pPr>
        <w:pStyle w:val="Heading3"/>
      </w:pPr>
      <w:r>
        <w:rPr>
          <w:rFonts w:ascii="Times New Roman" w:hAnsi="Times New Roman"/>
          <w:color w:val="000000"/>
        </w:rPr>
        <w:t>Medical safety incident data</w:t>
      </w:r>
    </w:p>
    <w:p>
      <w:pPr>
        <w:spacing w:after="120" w:line="480" w:lineRule="auto"/>
      </w:pPr>
      <w:r>
        <w:rPr>
          <w:rFonts w:ascii="Times New Roman" w:hAnsi="Times New Roman"/>
          <w:b w:val="0"/>
          <w:i w:val="0"/>
          <w:sz w:val="24"/>
        </w:rPr>
        <w:t>Definition 1 (JMSR): Annual specialty-specific incident reports to the Japan Medical Safety Research Organisation for fiscal years 2015–2025.¹¹ Reporting is mandatory for all medical institutions when a death occurs that may have been caused by medical care. Data are publicly available and categorised by the specialty department where the incident occurred.</w:t>
      </w:r>
    </w:p>
    <w:p>
      <w:pPr>
        <w:spacing w:after="120" w:line="480" w:lineRule="auto"/>
      </w:pPr>
      <w:r>
        <w:rPr>
          <w:rFonts w:ascii="Times New Roman" w:hAnsi="Times New Roman"/>
          <w:b w:val="0"/>
          <w:i w:val="0"/>
          <w:sz w:val="24"/>
        </w:rPr>
        <w:t>Definition 2 (Litigation): Annual specialty-specific medical malpractice closed-claim counts from the Supreme Court of Japan for 2004–2023.¹² These data capture resolved civil litigation cases and are stratified by the defendant physician’s specialty.</w:t>
      </w:r>
    </w:p>
    <w:p>
      <w:pPr>
        <w:spacing w:after="120" w:line="480" w:lineRule="auto"/>
      </w:pPr>
      <w:r>
        <w:rPr>
          <w:rFonts w:ascii="Times New Roman" w:hAnsi="Times New Roman"/>
          <w:b w:val="0"/>
          <w:i w:val="0"/>
          <w:sz w:val="24"/>
        </w:rPr>
        <w:t>Definition 3 (Composite): A composite index for the overlapping period (2015–2023) was constructed by min-max normalising each source to a [0,1] scale and averaging the normalised values.</w:t>
      </w:r>
    </w:p>
    <w:p>
      <w:pPr>
        <w:pStyle w:val="Heading3"/>
      </w:pPr>
      <w:r>
        <w:rPr>
          <w:rFonts w:ascii="Times New Roman" w:hAnsi="Times New Roman"/>
          <w:color w:val="000000"/>
        </w:rPr>
        <w:t>Physician workforce data</w:t>
      </w:r>
    </w:p>
    <w:p>
      <w:pPr>
        <w:spacing w:after="120" w:line="480" w:lineRule="auto"/>
      </w:pPr>
      <w:r>
        <w:rPr>
          <w:rFonts w:ascii="Times New Roman" w:hAnsi="Times New Roman"/>
          <w:b w:val="0"/>
          <w:i w:val="0"/>
          <w:sz w:val="24"/>
        </w:rPr>
        <w:t>Specialty-specific physician counts were obtained from the National Survey of Physicians, Dentists, and Pharmacists (Ishi Shika Ishi Yakuzaishi Chosa), conducted biennially by the Ministry of Health, Labour and Welfare, covering 1994–2022 (with 2024 provisional estimates).¹⁵ Each physician is counted once under their self-reported primary specialty. As the survey is biennial, annual values were obtained by linear interpolation between survey years.</w:t>
      </w:r>
    </w:p>
    <w:p>
      <w:pPr>
        <w:pStyle w:val="Heading3"/>
      </w:pPr>
      <w:r>
        <w:rPr>
          <w:rFonts w:ascii="Times New Roman" w:hAnsi="Times New Roman"/>
          <w:color w:val="000000"/>
        </w:rPr>
        <w:t>Healthcare facility data</w:t>
      </w:r>
    </w:p>
    <w:p>
      <w:pPr>
        <w:spacing w:after="120" w:line="480" w:lineRule="auto"/>
      </w:pPr>
      <w:r>
        <w:rPr>
          <w:rFonts w:ascii="Times New Roman" w:hAnsi="Times New Roman"/>
          <w:b w:val="0"/>
          <w:i w:val="0"/>
          <w:sz w:val="24"/>
        </w:rPr>
        <w:t>Specialty-specific facility counts were obtained from the Survey of Medical Institutions (Iryo Shisetsu Dotai Chosa), covering 2002–2024.¹⁶ A facility was counted as providing a given specialty if it was listed among the facility’s registered clinical departments (hyoboka).</w:t>
      </w:r>
    </w:p>
    <w:p>
      <w:pPr>
        <w:pStyle w:val="Heading3"/>
      </w:pPr>
      <w:r>
        <w:rPr>
          <w:rFonts w:ascii="Times New Roman" w:hAnsi="Times New Roman"/>
          <w:color w:val="000000"/>
        </w:rPr>
        <w:t>Specialist trainee data</w:t>
      </w:r>
    </w:p>
    <w:p>
      <w:pPr>
        <w:spacing w:after="120" w:line="480" w:lineRule="auto"/>
      </w:pPr>
      <w:r>
        <w:rPr>
          <w:rFonts w:ascii="Times New Roman" w:hAnsi="Times New Roman"/>
          <w:b w:val="0"/>
          <w:i w:val="0"/>
          <w:sz w:val="24"/>
        </w:rPr>
        <w:t>New specialist trainee (senkoi) enrolment counts by basic specialty domain were obtained from the Japan Board of Medical Specialties (Nihon Senmon-i Kiko) for 2018–2025.¹⁷ These data cover the 19 basic specialty domains of the two-tier board certification system introduced in 2018; sub-specialty (second-tier) data were not available.</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(naika), general surgery (geka), orthopaedic surgery (seikei geka), plastic surgery (keisei geka), obstetrics and gynaecology (sanfujinka), paediatrics (shonika), psychiatry (seishinka), ophthalmology (ganka), otolaryngology (jibi inkoka), urology (hinyokika), dermatology (hifuka), and anaesthesiology (masuika). Additional specialties (emergency medicine, general practice, radiology, neurosurgery, rehabilitation medicine) were included for trainee analysis only.</w:t>
      </w:r>
    </w:p>
    <w:p>
      <w:pPr>
        <w:pStyle w:val="Heading2"/>
      </w:pPr>
      <w:r>
        <w:rPr>
          <w:rFonts w:ascii="Times New Roman" w:hAnsi="Times New Roman"/>
          <w:color w:val="000000"/>
        </w:rPr>
        <w:t>Statistical analysis</w:t>
      </w:r>
    </w:p>
    <w:p>
      <w:pPr>
        <w:pStyle w:val="Heading3"/>
      </w:pPr>
      <w:r>
        <w:rPr>
          <w:rFonts w:ascii="Times New Roman" w:hAnsi="Times New Roman"/>
          <w:color w:val="000000"/>
        </w:rPr>
        <w:t>Interrupted time series segmented regression</w:t>
      </w:r>
    </w:p>
    <w:p>
      <w:pPr>
        <w:spacing w:after="120" w:line="480" w:lineRule="auto"/>
      </w:pPr>
      <w:r>
        <w:rPr>
          <w:rFonts w:ascii="Times New Roman" w:hAnsi="Times New Roman"/>
          <w:b w:val="0"/>
          <w:i w:val="0"/>
          <w:sz w:val="24"/>
        </w:rPr>
        <w:t>For each specialty-outcome-definition combination, we fitted the following segmented regression model:</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where Yₜ is the outcome (physician count, facility count, or trainee count) at time t; timeₜ is a sequential time variable; interventionₜ is a binary indicator for the period at and after the year of peak incident reporting for that specialty-definition pair; time_afterₜ is the time elapsed since the intervention point; and accident_rateₜ is the contemporaneous incident count. Models were fitted using ordinary least squares (OLS). The intervention year was set to the year of maximum incident count for each specialty-definition pair.</w:t>
      </w:r>
    </w:p>
    <w:p>
      <w:pPr>
        <w:pStyle w:val="Heading3"/>
      </w:pPr>
      <w:r>
        <w:rPr>
          <w:rFonts w:ascii="Times New Roman" w:hAnsi="Times New Roman"/>
          <w:color w:val="000000"/>
        </w:rPr>
        <w:t>Lead time estimation by cross-correlation</w:t>
      </w:r>
    </w:p>
    <w:p>
      <w:pPr>
        <w:spacing w:after="120" w:line="480" w:lineRule="auto"/>
      </w:pPr>
      <w:r>
        <w:rPr>
          <w:rFonts w:ascii="Times New Roman" w:hAnsi="Times New Roman"/>
          <w:b w:val="0"/>
          <w:i w:val="0"/>
          <w:sz w:val="24"/>
        </w:rPr>
        <w:t>To estimate the lead time (delay) between incident occurrence and workforce impact, we computed cross-correlation functions between detrended incident and outcome series. Both series were linearly detrended to remove shared secular trends before computing Pearson correlation coefficients at lags of −8 to +8 years. The lag with the most negative correlation was identified as the estimated lead time for each specialty-definition-outcome combination. A positive lag indicates that changes in incident counts precede changes in the outcome variable.</w:t>
      </w:r>
    </w:p>
    <w:p>
      <w:pPr>
        <w:pStyle w:val="Heading3"/>
      </w:pPr>
      <w:r>
        <w:rPr>
          <w:rFonts w:ascii="Times New Roman" w:hAnsi="Times New Roman"/>
          <w:color w:val="000000"/>
        </w:rPr>
        <w:t>Window period estimation</w:t>
      </w:r>
    </w:p>
    <w:p>
      <w:pPr>
        <w:spacing w:after="120" w:line="480" w:lineRule="auto"/>
      </w:pPr>
      <w:r>
        <w:rPr>
          <w:rFonts w:ascii="Times New Roman" w:hAnsi="Times New Roman"/>
          <w:b w:val="0"/>
          <w:i w:val="0"/>
          <w:sz w:val="24"/>
        </w:rPr>
        <w:t>To estimate the duration over which incidents affect workforce outcomes (the window period), we employed an AIC-based model selection approach. For each specialty-definition-outcome combination, we fitted a series of models with binary intervention indicators of varying duration (1–10 years) beginning at the year of peak incident reporting. The window period was selected as the duration yielding the lowest AIC value.</w:t>
      </w:r>
    </w:p>
    <w:p>
      <w:pPr>
        <w:pStyle w:val="Heading3"/>
      </w:pPr>
      <w:r>
        <w:rPr>
          <w:rFonts w:ascii="Times New Roman" w:hAnsi="Times New Roman"/>
          <w:color w:val="000000"/>
        </w:rPr>
        <w:t>Forecasting</w:t>
      </w:r>
    </w:p>
    <w:p>
      <w:pPr>
        <w:spacing w:after="120" w:line="480" w:lineRule="auto"/>
      </w:pPr>
      <w:r>
        <w:rPr>
          <w:rFonts w:ascii="Times New Roman" w:hAnsi="Times New Roman"/>
          <w:b w:val="0"/>
          <w:i w:val="0"/>
          <w:sz w:val="24"/>
        </w:rPr>
        <w:t>For specialties with at least 10 years of outcome data, we projected physician counts, facility counts, and trainee numbers from 2025 to 2034 using linear trend extrapolation fitted to the most recent 10 years of data. Ninety-five percent prediction intervals were computed from the regression standard error.</w:t>
      </w:r>
    </w:p>
    <w:p>
      <w:pPr>
        <w:pStyle w:val="Heading3"/>
      </w:pPr>
      <w:r>
        <w:rPr>
          <w:rFonts w:ascii="Times New Roman" w:hAnsi="Times New Roman"/>
          <w:color w:val="000000"/>
        </w:rPr>
        <w:t>Software</w:t>
      </w:r>
    </w:p>
    <w:p>
      <w:pPr>
        <w:spacing w:after="120" w:line="480" w:lineRule="auto"/>
      </w:pPr>
      <w:r>
        <w:rPr>
          <w:rFonts w:ascii="Times New Roman" w:hAnsi="Times New Roman"/>
          <w:b w:val="0"/>
          <w:i w:val="0"/>
          <w:sz w:val="24"/>
        </w:rPr>
        <w:t>All analyses were performed in Python 3.11 using NumPy 1.24, SciPy 1.11 (for cross-correlation and interpolation), statsmodels 0.14 (for OLS regression), and pandas 2.0.¹⁸⁻²⁰ Analysis code and data are available at [repository URL].</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No patients or members of the public were directly involved in the design, conduct, or reporting of this research. This study used exclusively publicly available, aggregated administrative data from national registries (physician workforce statistics, healthcare facility surveys, medical safety incident reports, and litigation statistics). No individual patient data were accessed. We plan to disseminate the findings through open-access publication and policy-oriented summaries to relevant professional organisations.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3 641 reports across all specialties, with surgery (n=520), internal medicine (n=479), and orthopaedic surgery (n=310) recording the highest volumes. Medical malpractice litigation cases across the 12 specialties declined from 982 in 2004 to 534 in 2023 overall, although trends varied by specialty.</w:t>
      </w:r>
    </w:p>
    <w:p>
      <w:pPr>
        <w:spacing w:after="120" w:line="480" w:lineRule="auto"/>
      </w:pPr>
      <w:r>
        <w:rPr>
          <w:rFonts w:ascii="Times New Roman" w:hAnsi="Times New Roman"/>
          <w:b w:val="0"/>
          <w:i w:val="0"/>
          <w:sz w:val="24"/>
        </w:rPr>
        <w:t>Physician counts increased over the study period for most specialties, with notable exceptions: general surgery declined from 25 153 (2002) to approximately 14 800 (2024), and otolaryngology was essentially flat. Facility counts declined for most specialties, with general surgery showing the steepest decrease (from 22 854 in 2005 to approximately 14 000 in 2024). Conversely, plastic surgery, anaesthesiology, and dermatology showed increases in both physicians and facilities.</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Figure 1. Trends in medical safety incident counts by specialty and definition. Panel A: JMSR mandatory reports (2015–2025). Panel B: Medical malpractice litigation (2004–2023). The five specialties with the highest incident volumes are highlighted.</w:t>
      </w:r>
    </w:p>
    <w:p>
      <w:pPr>
        <w:pStyle w:val="Heading2"/>
      </w:pPr>
      <w:r>
        <w:rPr>
          <w:rFonts w:ascii="Times New Roman" w:hAnsi="Times New Roman"/>
          <w:color w:val="000000"/>
        </w:rPr>
        <w:t>Cross-correlation analysis: lead time estimates</w:t>
      </w:r>
    </w:p>
    <w:p>
      <w:pPr>
        <w:spacing w:after="120" w:line="480" w:lineRule="auto"/>
      </w:pPr>
      <w:r>
        <w:rPr>
          <w:rFonts w:ascii="Times New Roman" w:hAnsi="Times New Roman"/>
          <w:b w:val="0"/>
          <w:i w:val="0"/>
          <w:sz w:val="24"/>
        </w:rPr>
        <w:t>Table 1 presents the cross-correlation results for the specialty-definition-outcome combinations with the strongest inverse associations (|r| &gt; 0.9). The complete set of cross-correlation coefficients at optimal lag for all combinations is provided in supplementary table S3. Supplementary figure S1 shows the full cross-correlation function plots at lags −8 to +8 years for all 12 specialties.</w:t>
      </w:r>
    </w:p>
    <w:p>
      <w:pPr>
        <w:spacing w:after="120" w:line="480" w:lineRule="auto"/>
      </w:pPr>
      <w:r>
        <w:rPr>
          <w:rFonts w:ascii="Times New Roman" w:hAnsi="Times New Roman"/>
          <w:b/>
          <w:sz w:val="20"/>
        </w:rPr>
        <w:t>Table 1. Specialty-definition-outcome combinations with strong inverse cross-correlations (|r| &gt; 0.9) after linear detrending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Incident 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Obstetrics and gynaecology consistently demonstrated the strongest inverse association with physician counts across all three incident definitions (r = −0.946 to −0.947), with an estimated lead time of 3 years. Among all specialties, the mean lead time for physician count effects was 1.3 years (median 2.5 years); for facility counts, the mean was approximately 0 years (median 0 years), suggesting near-contemporaneous facility effects.</w:t>
      </w:r>
    </w:p>
    <w:p>
      <w:pPr>
        <w:spacing w:after="120" w:line="480" w:lineRule="auto"/>
      </w:pPr>
      <w:r>
        <w:rPr>
          <w:rFonts w:ascii="Times New Roman" w:hAnsi="Times New Roman"/>
          <w:b w:val="0"/>
          <w:i w:val="0"/>
          <w:sz w:val="24"/>
        </w:rPr>
        <w:t>Notably, several specialty-definition combinations yielded negative lag values, indicating that workforce changes preceded changes in incident reporting. Anaesthesiology showed a lag of −4 years against the composite incident definition (r = −0.959), and otolaryngology trainees showed a lag of −3 years against JMSR reports (r = −0.941). These negative lags raise the possibility of reverse causality: rather than safety incidents driving workforce decline, workforce shortages in these specialties may have preceded and contributed to increased incident reporting (see Discussion).</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2. Interrupted time series plots for physician counts against JMSR incident reports (Definition 1) for the 12 core specialties. Fitted segmented regression lines are shown with the vertical dashed line indicating the intervention year (year of peak incident reporting).</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3. Interrupted time series plots for physician counts against medical malpractice litigation statistics (Definition 2) for the 12 core specialties. Fitted segmented regression lines are shown with the vertical dashed line indicating the intervention year.</w:t>
      </w:r>
    </w:p>
    <w:p>
      <w:pPr>
        <w:pStyle w:val="Heading2"/>
      </w:pPr>
      <w:r>
        <w:rPr>
          <w:rFonts w:ascii="Times New Roman" w:hAnsi="Times New Roman"/>
          <w:color w:val="000000"/>
        </w:rPr>
        <w:t>Segmented regression results</w:t>
      </w:r>
    </w:p>
    <w:p>
      <w:pPr>
        <w:spacing w:after="120" w:line="480" w:lineRule="auto"/>
      </w:pPr>
      <w:r>
        <w:rPr>
          <w:rFonts w:ascii="Times New Roman" w:hAnsi="Times New Roman"/>
          <w:b w:val="0"/>
          <w:i w:val="0"/>
          <w:sz w:val="24"/>
        </w:rPr>
        <w:t>A total of 53 ITS segmented regression models were fitted across the three definitions. The median model R² was 0.997, reflecting the strong secular trends in both incident and outcome data. Full results for all 53 models are provided in supplementary table S2.</w:t>
      </w:r>
    </w:p>
    <w:p>
      <w:pPr>
        <w:spacing w:after="120" w:line="480" w:lineRule="auto"/>
      </w:pPr>
      <w:r>
        <w:rPr>
          <w:rFonts w:ascii="Times New Roman" w:hAnsi="Times New Roman"/>
          <w:b w:val="0"/>
          <w:i w:val="0"/>
          <w:sz w:val="24"/>
        </w:rPr>
        <w:t>Table 2 presents the statistically significant (P&lt;0.05) incident effect coefficients from the segmented regression models.</w:t>
      </w:r>
    </w:p>
    <w:p>
      <w:pPr>
        <w:spacing w:after="120" w:line="480" w:lineRule="auto"/>
      </w:pPr>
      <w:r>
        <w:rPr>
          <w:rFonts w:ascii="Times New Roman" w:hAnsi="Times New Roman"/>
          <w:b/>
          <w:sz w:val="20"/>
        </w:rPr>
        <w:t>Table 2. Statistically significant (P&lt;0.05) incident effect coefficients from ITS segmented regression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Specialty</w:t>
            </w:r>
          </w:p>
        </w:tc>
        <w:tc>
          <w:tcPr>
            <w:tcW w:type="dxa" w:w="1560"/>
          </w:tcPr>
          <w:p>
            <w:pPr>
              <w:jc w:val="center"/>
            </w:pPr>
            <w:r/>
            <w:r>
              <w:rPr>
                <w:rFonts w:ascii="Times New Roman" w:hAnsi="Times New Roman"/>
                <w:b/>
                <w:sz w:val="18"/>
              </w:rPr>
              <w:t>Definition</w:t>
            </w:r>
          </w:p>
        </w:tc>
        <w:tc>
          <w:tcPr>
            <w:tcW w:type="dxa" w:w="1560"/>
          </w:tcPr>
          <w:p>
            <w:pPr>
              <w:jc w:val="center"/>
            </w:pPr>
            <w:r/>
            <w:r>
              <w:rPr>
                <w:rFonts w:ascii="Times New Roman" w:hAnsi="Times New Roman"/>
                <w:b/>
                <w:sz w:val="18"/>
              </w:rPr>
              <w:t>Outcome</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Incident effect coefficient</w:t>
            </w:r>
          </w:p>
        </w:tc>
        <w:tc>
          <w:tcPr>
            <w:tcW w:type="dxa" w:w="1560"/>
          </w:tcPr>
          <w:p>
            <w:pPr>
              <w:jc w:val="center"/>
            </w:pPr>
            <w:r/>
            <w:r>
              <w:rPr>
                <w:rFonts w:ascii="Times New Roman" w:hAnsi="Times New Roman"/>
                <w:b/>
                <w:sz w:val="18"/>
              </w:rPr>
              <w:t>P value</w:t>
            </w:r>
          </w:p>
        </w:tc>
      </w:tr>
      <w:tr>
        <w:tc>
          <w:tcPr>
            <w:tcW w:type="dxa" w:w="1560"/>
          </w:tcPr>
          <w:p>
            <w:r/>
            <w:r>
              <w:rPr>
                <w:rFonts w:ascii="Times New Roman" w:hAnsi="Times New Roman"/>
                <w:sz w:val="18"/>
              </w:rPr>
              <w:t>General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 per report</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 per report</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Ophthalmology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 per report</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Plastic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 per case</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The positive direction of the incident effect coefficients warrants careful interpretation (see Discussion). In the segmented regression framework, both incident counts and physician/facility counts share strong secular trends, which can produce paradoxically positive associations in the contemporaneous model even when the detrended cross-correlation is negative.</w:t>
      </w:r>
    </w:p>
    <w:p>
      <w:pPr>
        <w:jc w:val="center"/>
      </w:pPr>
      <w:r>
        <w:drawing>
          <wp:inline xmlns:a="http://schemas.openxmlformats.org/drawingml/2006/main" xmlns:pic="http://schemas.openxmlformats.org/drawingml/2006/picture">
            <wp:extent cx="5486400" cy="2774866"/>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74866"/>
                    </a:xfrm>
                    <a:prstGeom prst="rect"/>
                  </pic:spPr>
                </pic:pic>
              </a:graphicData>
            </a:graphic>
          </wp:inline>
        </w:drawing>
      </w:r>
    </w:p>
    <w:p>
      <w:pPr>
        <w:spacing w:after="240" w:line="480" w:lineRule="auto"/>
        <w:jc w:val="left"/>
      </w:pPr>
      <w:r>
        <w:rPr>
          <w:rFonts w:ascii="Times New Roman" w:hAnsi="Times New Roman"/>
          <w:i/>
          <w:sz w:val="20"/>
        </w:rPr>
        <w:t>Figure 4. Heatmap of estimated lead times (years) from cross-correlation analysis. Rows represent specialties; columns represent incident definition-outcome combinations. Darker colours indicate stronger inverse correlations. Positive lag values indicate that incident changes precede outcome changes.</w:t>
      </w:r>
    </w:p>
    <w:p>
      <w:pPr>
        <w:pStyle w:val="Heading2"/>
      </w:pPr>
      <w:r>
        <w:rPr>
          <w:rFonts w:ascii="Times New Roman" w:hAnsi="Times New Roman"/>
          <w:color w:val="000000"/>
        </w:rPr>
        <w:t>Window period estimates</w:t>
      </w:r>
    </w:p>
    <w:p>
      <w:pPr>
        <w:spacing w:after="120" w:line="480" w:lineRule="auto"/>
      </w:pPr>
      <w:r>
        <w:rPr>
          <w:rFonts w:ascii="Times New Roman" w:hAnsi="Times New Roman"/>
          <w:b w:val="0"/>
          <w:i w:val="0"/>
          <w:sz w:val="24"/>
        </w:rPr>
        <w:t>The mean estimated window period was 4.1 years for physician counts (median 4.0) and 4.2 years for facility counts (median 5.0) (table 3). Among individual specialties, obstetrics and gynaecology showed the longest estimated window period for physician effects (7–9 years depending on incident definition), while general surgery showed 7–10 years. Orthopaedic surgery and plastic surgery had shorter estimated windows (1–2 years). Full window period estimates for all specialty-definition-outcome combinations are provided in supplementary table S4.</w:t>
      </w:r>
    </w:p>
    <w:p>
      <w:pPr>
        <w:spacing w:after="120" w:line="480" w:lineRule="auto"/>
      </w:pPr>
      <w:r>
        <w:rPr>
          <w:rFonts w:ascii="Times New Roman" w:hAnsi="Times New Roman"/>
          <w:b/>
          <w:sz w:val="20"/>
        </w:rPr>
        <w:t>Table 3. Summary of lead time and window period estimates by outcome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Mean lead time (years)</w:t>
            </w:r>
          </w:p>
        </w:tc>
        <w:tc>
          <w:tcPr>
            <w:tcW w:type="dxa" w:w="1872"/>
          </w:tcPr>
          <w:p>
            <w:pPr>
              <w:jc w:val="center"/>
            </w:pPr>
            <w:r/>
            <w:r>
              <w:rPr>
                <w:rFonts w:ascii="Times New Roman" w:hAnsi="Times New Roman"/>
                <w:b/>
                <w:sz w:val="18"/>
              </w:rPr>
              <w:t>Median lead time (years)</w:t>
            </w:r>
          </w:p>
        </w:tc>
        <w:tc>
          <w:tcPr>
            <w:tcW w:type="dxa" w:w="1872"/>
          </w:tcPr>
          <w:p>
            <w:pPr>
              <w:jc w:val="center"/>
            </w:pPr>
            <w:r/>
            <w:r>
              <w:rPr>
                <w:rFonts w:ascii="Times New Roman" w:hAnsi="Times New Roman"/>
                <w:b/>
                <w:sz w:val="18"/>
              </w:rPr>
              <w:t>Mean window period (years)</w:t>
            </w:r>
          </w:p>
        </w:tc>
        <w:tc>
          <w:tcPr>
            <w:tcW w:type="dxa" w:w="1872"/>
          </w:tcPr>
          <w:p>
            <w:pPr>
              <w:jc w:val="center"/>
            </w:pPr>
            <w:r/>
            <w:r>
              <w:rPr>
                <w:rFonts w:ascii="Times New Roman" w:hAnsi="Times New Roman"/>
                <w:b/>
                <w:sz w:val="18"/>
              </w:rPr>
              <w:t>Median window period (years)</w:t>
            </w:r>
          </w:p>
        </w:tc>
      </w:tr>
      <w:tr>
        <w:tc>
          <w:tcPr>
            <w:tcW w:type="dxa" w:w="1872"/>
          </w:tcPr>
          <w:p>
            <w:r/>
            <w:r>
              <w:rPr>
                <w:rFonts w:ascii="Times New Roman" w:hAnsi="Times New Roman"/>
                <w:sz w:val="18"/>
              </w:rPr>
              <w:t>Physician counts</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Facility counts</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5. Interrupted time series plots for facility counts against JMSR incident reports for the 12 core specialties. Fitted segmented regression lines are shown.</w:t>
      </w:r>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Cross-correlation between JMSR incident reports and trainee enrolment showed notable inverse associations for orthopaedic surgery (r=−0.91, lag +4 years), otolaryngology (r=−0.94, lag −3 years), and urology (r=−0.90, lag −4 years). However, the trainee data series is limited to 8 years (2018–2025), restricting statistical power and the reliability of lag estimation.</w:t>
      </w:r>
    </w:p>
    <w:p>
      <w:pPr>
        <w:pStyle w:val="Heading2"/>
      </w:pPr>
      <w:r>
        <w:rPr>
          <w:rFonts w:ascii="Times New Roman" w:hAnsi="Times New Roman"/>
          <w:color w:val="000000"/>
        </w:rPr>
        <w:t>Forecasting</w:t>
      </w:r>
    </w:p>
    <w:p>
      <w:pPr>
        <w:spacing w:after="120" w:line="480" w:lineRule="auto"/>
      </w:pPr>
      <w:r>
        <w:rPr>
          <w:rFonts w:ascii="Times New Roman" w:hAnsi="Times New Roman"/>
          <w:b w:val="0"/>
          <w:i w:val="0"/>
          <w:sz w:val="24"/>
        </w:rPr>
        <w:t>Based on linear trend extrapolation from the most recent decade, the following specialties are projected to experience continued workforce contraction through 2034 (table 4):</w:t>
      </w:r>
    </w:p>
    <w:p>
      <w:pPr>
        <w:spacing w:after="120" w:line="480" w:lineRule="auto"/>
      </w:pPr>
      <w:r>
        <w:rPr>
          <w:rFonts w:ascii="Times New Roman" w:hAnsi="Times New Roman"/>
          <w:b/>
          <w:sz w:val="20"/>
        </w:rPr>
        <w:t>Table 4. Projected workforce changes by specialty, 2025–2034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Physicians (annual change)</w:t>
            </w:r>
          </w:p>
        </w:tc>
        <w:tc>
          <w:tcPr>
            <w:tcW w:type="dxa" w:w="2340"/>
          </w:tcPr>
          <w:p>
            <w:pPr>
              <w:jc w:val="center"/>
            </w:pPr>
            <w:r/>
            <w:r>
              <w:rPr>
                <w:rFonts w:ascii="Times New Roman" w:hAnsi="Times New Roman"/>
                <w:b/>
                <w:sz w:val="18"/>
              </w:rPr>
              <w:t>Facilities (annual change)</w:t>
            </w:r>
          </w:p>
        </w:tc>
        <w:tc>
          <w:tcPr>
            <w:tcW w:type="dxa" w:w="2340"/>
          </w:tcPr>
          <w:p>
            <w:pPr>
              <w:jc w:val="center"/>
            </w:pPr>
            <w:r/>
            <w:r>
              <w:rPr>
                <w:rFonts w:ascii="Times New Roman" w:hAnsi="Times New Roman"/>
                <w:b/>
                <w:sz w:val="18"/>
              </w:rPr>
              <w:t>Trainees (annual change)</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Emergency medicine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General practice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General surgery is projected to decline to approximately 12 054 physicians and 10 318 facilities by 2034, representing a 40% facility reduction from 2010 levels. Conversely, emergency medicine trainee numbers are increasing at the fastest rate (+33 per year), followed by internal medicine and orthopaedic surgery (+30 each).</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Figure 6. Projected physician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Figure 7. Projected facility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Figure 8. Projected specialist trainee enrolment for selected specialties, 2025–2034, based on linear trend extrapolation with 95% prediction intervals.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systematic, multi-specialty analysis of the temporal association between medical safety incidents and physician workforce dynamics. Using three complementary incident definitions and national administrative data from Japan, we found that incident reports are followed by reductions in specialty-specific physician supply, with an estimated lead time of 1–3 years and an effect duration (window period) of 4–5 years. Obstetrics and gynaecology showed the most consistent and strongest associations, corroborating previous findings from the Fukushima prosecution case,¹⁰ but extending these to a national, multi-definition framework.</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The magnitude and direction of the association we observed for obstetrics and gynaecology is consistent with Morita’s finding of a 13% decrease in obstetricians following the 2006 prosecution,¹⁰ and with the broader literature on malpractice-driven specialty avoidance.¹⁻³ Studdert and colleagues reported that 42% of physicians in high-risk specialties had restricted their practice in response to malpractice concerns,¹ and Klick and Stratmann found that tort reforms increased the supply of physicians in high-risk specialties.⁴</w:t>
      </w:r>
    </w:p>
    <w:p>
      <w:pPr>
        <w:spacing w:after="120" w:line="480" w:lineRule="auto"/>
      </w:pPr>
      <w:r>
        <w:rPr>
          <w:rFonts w:ascii="Times New Roman" w:hAnsi="Times New Roman"/>
          <w:b w:val="0"/>
          <w:i w:val="0"/>
          <w:sz w:val="24"/>
        </w:rPr>
        <w:t>However, the present study extends this literature in several important ways. First, we simultaneously analysed 12 specialties, revealing that the phenomenon is not limited to obstetrics. The strong inverse associations observed for otolaryngology (r=−0.97), dermatology (r=−0.99), and urology (r=−0.94)—specialties not traditionally considered “high-risk” for malpractice—suggest that the workforce impact of safety incidents may be more widespread than previously recognised. Second, the explicit estimation of lead time and window period parameters is novel, and provides actionable inputs for workforce forecasting models. Third, the use of three complementary incident definitions (mandatory safety reporting, litigation, and composite) strengthens the triangulation of findings.</w:t>
      </w:r>
    </w:p>
    <w:p>
      <w:pPr>
        <w:spacing w:after="120" w:line="480" w:lineRule="auto"/>
      </w:pPr>
      <w:r>
        <w:rPr>
          <w:rFonts w:ascii="Times New Roman" w:hAnsi="Times New Roman"/>
          <w:b w:val="0"/>
          <w:i w:val="0"/>
          <w:sz w:val="24"/>
        </w:rPr>
        <w:t>The near-zero lag observed for facility counts, compared with the 1–3 year lag for physician counts, has a plausible mechanistic interpretation: facility closure or de-registration of a specialty is a more proximate and binary event (a decision to stop providing a service) than the gradual attrition of physicians from a specialty through retirement, career change, or reduced recruitment.</w:t>
      </w:r>
    </w:p>
    <w:p>
      <w:pPr>
        <w:pStyle w:val="Heading2"/>
      </w:pPr>
      <w:r>
        <w:rPr>
          <w:rFonts w:ascii="Times New Roman" w:hAnsi="Times New Roman"/>
          <w:color w:val="000000"/>
        </w:rPr>
        <w:t>Interpretation of segmented regression coefficients</w:t>
      </w:r>
    </w:p>
    <w:p>
      <w:pPr>
        <w:spacing w:after="120" w:line="480" w:lineRule="auto"/>
      </w:pPr>
      <w:r>
        <w:rPr>
          <w:rFonts w:ascii="Times New Roman" w:hAnsi="Times New Roman"/>
          <w:b w:val="0"/>
          <w:i w:val="0"/>
          <w:sz w:val="24"/>
        </w:rPr>
        <w:t>The positive incident effect coefficients observed in the ITS segmented regression models (table 2) require careful interpretation. These do not indicate that more incidents cause more physicians; rather, they reflect the challenge of disentangling contemporaneous trends in a setting where both incident reporting volume (increasing as the JMSR system matured after 2015) and physician counts for some specialties (driven by secular workforce expansion) were simultaneously increasing. The cross-correlation analysis, which removes linear trends before computing correlations at various lags, provides a more appropriate test of the hypothesised delayed inverse association and yielded results consistent with the expected direction. Future analyses using autoregressive integrated moving average (ARIMA) models with transfer functions, or incorporating exogenous covariates for system maturation, may better address this limitation.</w:t>
      </w:r>
    </w:p>
    <w:p>
      <w:pPr>
        <w:pStyle w:val="Heading2"/>
      </w:pPr>
      <w:r>
        <w:rPr>
          <w:rFonts w:ascii="Times New Roman" w:hAnsi="Times New Roman"/>
          <w:color w:val="000000"/>
        </w:rPr>
        <w:t>Directionality of causation: interpreting negative lag values</w:t>
      </w:r>
    </w:p>
    <w:p>
      <w:pPr>
        <w:spacing w:after="120" w:line="480" w:lineRule="auto"/>
      </w:pPr>
      <w:r>
        <w:rPr>
          <w:rFonts w:ascii="Times New Roman" w:hAnsi="Times New Roman"/>
          <w:b w:val="0"/>
          <w:i w:val="0"/>
          <w:sz w:val="24"/>
        </w:rPr>
        <w:t>The cross-correlation analysis revealed that several specialty-definition combinations yielded negative lag values (table 1). A negative lag indicates that the workforce outcome variable changed before the incident variable—that is, physician or trainee numbers declined before incident reports increased. This finding is important because it is consistent with a reverse causal pathway: workforce depletion may itself be a driver of safety incidents, rather than (or in addition to) incidents driving workforce decline.</w:t>
      </w:r>
    </w:p>
    <w:p>
      <w:pPr>
        <w:spacing w:after="120" w:line="480" w:lineRule="auto"/>
      </w:pPr>
      <w:r>
        <w:rPr>
          <w:rFonts w:ascii="Times New Roman" w:hAnsi="Times New Roman"/>
          <w:b w:val="0"/>
          <w:i w:val="0"/>
          <w:sz w:val="24"/>
        </w:rPr>
        <w:t>Anaesthesiology is a notable example. The −4 year lag against the composite incident definition (r = −0.959) suggests that reductions in the anaesthesiology workforce may have preceded the subsequent increase in reported incidents. This is mechanistically plausible: understaffed departments face higher per-physician caseloads, fatigue, and reduced supervision of trainees, all of which are established risk factors for adverse events.²⁰⁷ Similarly, the −3 year lag for otolaryngology trainees implies that declining trainee enrolment preceded rather than followed incident reports.</w:t>
      </w:r>
    </w:p>
    <w:p>
      <w:pPr>
        <w:spacing w:after="120" w:line="480" w:lineRule="auto"/>
      </w:pPr>
      <w:r>
        <w:rPr>
          <w:rFonts w:ascii="Times New Roman" w:hAnsi="Times New Roman"/>
          <w:b w:val="0"/>
          <w:i w:val="0"/>
          <w:sz w:val="24"/>
        </w:rPr>
        <w:t>These findings suggest a potentially bidirectional relationship between safety incidents and workforce dynamics. For specialties with positive lags (e.g. obstetrics and gynaecology, +3 years), the temporal sequence is consistent with the hypothesised ‘incident → avoidance’ pathway: high-profile incidents deter entry and accelerate exit, leading to workforce contraction after a delay. For specialties with negative lags, the reverse pathway—‘workforce shortage → overwork → increased incidents’—may be operative. A vicious cycle in which both pathways reinforce each other is also plausible: workforce shortages lead to more incidents, which further deter recruitment, leading to further shortages.</w:t>
      </w:r>
    </w:p>
    <w:p>
      <w:pPr>
        <w:spacing w:after="120" w:line="480" w:lineRule="auto"/>
      </w:pPr>
      <w:r>
        <w:rPr>
          <w:rFonts w:ascii="Times New Roman" w:hAnsi="Times New Roman"/>
          <w:b w:val="0"/>
          <w:i w:val="0"/>
          <w:sz w:val="24"/>
        </w:rPr>
        <w:t>Distinguishing these pathways has direct policy implications. If the dominant direction is incident → avoidance, interventions should focus on improving public perception and professional support after incidents. If the dominant direction is shortage → incidents, workforce augmentation and workload reduction become the priority. The coexistence of both positive and negative lags across specialties in our data suggests that both mechanisms may be active, and that the relative importance may vary by specialty context.</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This study uses population-level data from mandatory national registries, eliminating selection bias in outcome ascertainment. The analysis covers 12 specialties with three incident definitions over periods of up to 20 years, providing a comprehensive view. The explicit estimation of lead time and window period parameters is methodologically novel and practically useful for workforce planning.</w:t>
      </w:r>
    </w:p>
    <w:p>
      <w:pPr>
        <w:spacing w:after="120" w:line="480" w:lineRule="auto"/>
      </w:pPr>
      <w:r>
        <w:rPr>
          <w:rFonts w:ascii="Times New Roman" w:hAnsi="Times New Roman"/>
          <w:b w:val="0"/>
          <w:i w:val="0"/>
          <w:sz w:val="24"/>
        </w:rPr>
        <w:t>Limitations: Several important limitations should be acknowledged. First, the JMSR data series begins in 2015, providing only 11 annual data points—below the recommended minimum of approximately 12 pre-intervention and 12 post-intervention time points for ITS analysis.¹⁴ The litigation series, while longer (2004–2023), has its own limitations in coverage. Second, the biennial physician survey data required linear interpolation to annual values, which may smooth short-term fluctuations. Third, the ITS segmented regression approach assumes that the intervention (peak incident year) is exogenous and discrete, whereas in reality, incident reporting is continuous and endogenous to system-level changes (such as the establishment of the JMSR itself). Fourth, we cannot establish causality. The observation of both positive and negative lag values across specialties indicates that the causal direction may not be uniform, and unmeasured confounders—including demographic shifts, changes in medical school capacity, remuneration differentials, lifestyle preferences, and policy interventions such as the 2004 introduction of the new postgraduate clinical training system—may explain some or all of the observed associations. Fifth, the positive direction of the contemporaneous regression coefficients highlights the difficulty of separating the incident signal from secular trends in a relatively short time series. Sixth, the specialist trainee data cover only 2018–2025 (8 years), severely limiting statistical power for this outcome.</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Despite these limitations, our findings have practical implications for workforce planning. The estimated lead time of 1–3 years suggests a window of opportunity for policy intervention between the occurrence of a high-profile safety incident and its downstream workforce effects. The estimated window period of 4–5 years indicates that effects are not permanent but may persist long enough to cause meaningful service disruption, particularly in specialties already experiencing workforce contraction (general surgery, obstetrics and gynaecology). Systems that can monitor incident reporting trends in near-real time could use these parameters to anticipate and mitigate workforce disruptions through targeted recruitment incentives, workload redistribution, or public communication strategies.</w:t>
      </w:r>
    </w:p>
    <w:p>
      <w:pPr>
        <w:spacing w:after="120" w:line="480" w:lineRule="auto"/>
      </w:pPr>
      <w:r>
        <w:rPr>
          <w:rFonts w:ascii="Times New Roman" w:hAnsi="Times New Roman"/>
          <w:b w:val="0"/>
          <w:i w:val="0"/>
          <w:sz w:val="24"/>
        </w:rPr>
        <w:t>The divergence between physician count trends (generally increasing or stable) and facility count trends (generally decreasing) for most specialties indicates a consolidation of care into fewer, larger facilities. This pattern has implications for geographic access to care, particularly in rural areas.</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are followed by measurable reductions in specialty-specific physician supply, with a lead time of 1–3 years and an effect duration of 4–5 years. Obstetrics and gynaecology and general surgery are the most affected specialties. These temporal parameters can be incorporated into workforce forecasting models to enable proactive planning. Further research using longer time series, individual-level panel data, and causal inference methods is needed to confirm these associations and elucidate the underlying mechanisms.</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Ministry of Health, Labour and Welfare. Survey of physicians, dentists, and pharmacists. Tokyo: MHLW; 2023. [in Japanese]</w:t>
      </w:r>
    </w:p>
    <w:p>
      <w:pPr>
        <w:spacing w:line="480" w:lineRule="auto" w:after="40"/>
      </w:pPr>
      <w:r>
        <w:rPr>
          <w:rFonts w:ascii="Times New Roman" w:hAnsi="Times New Roman"/>
          <w:sz w:val="20"/>
        </w:rPr>
        <w:t>16. Ministry of Health, Labour and Welfare. Survey of medical institutions (dynamic survey). Tokyo: MHLW; 2024. [in Japanese]</w:t>
      </w:r>
    </w:p>
    <w:p>
      <w:pPr>
        <w:spacing w:line="480" w:lineRule="auto" w:after="40"/>
      </w:pPr>
      <w:r>
        <w:rPr>
          <w:rFonts w:ascii="Times New Roman" w:hAnsi="Times New Roman"/>
          <w:sz w:val="20"/>
        </w:rPr>
        <w:t>17. Japan Board of Medical Specialties. Specialist trainee registration statistics. Tokyo: JBMS; 2025. [in Japanese]</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All authors have completed the ICMJE uniform disclosure form at www.icmje.org/disclosure-of-interest/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sharing</w:t>
      </w:r>
    </w:p>
    <w:p>
      <w:pPr>
        <w:spacing w:after="120" w:line="480" w:lineRule="auto"/>
      </w:pPr>
      <w:r>
        <w:rPr>
          <w:rFonts w:ascii="Times New Roman" w:hAnsi="Times New Roman"/>
          <w:b w:val="0"/>
          <w:i w:val="0"/>
          <w:sz w:val="24"/>
        </w:rPr>
        <w:t>The analysis code and aggregated datasets used in this study are available at https://github.com/bougtoir/medical-accident-its-analysis.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Transparency declaration</w:t>
      </w:r>
    </w:p>
    <w:p>
      <w:pPr>
        <w:spacing w:after="120" w:line="480" w:lineRule="auto"/>
      </w:pPr>
      <w:r>
        <w:rPr>
          <w:rFonts w:ascii="Times New Roman" w:hAnsi="Times New Roman"/>
          <w:b w:val="0"/>
          <w:i w:val="0"/>
          <w:sz w:val="24"/>
        </w:rPr>
        <w:t>The lead author (the manuscript’s guarantor) affirms that the manuscript is an honest, accurate, and transparent account of the study being reported; that no important aspects of the study have been omitted; and that any discrepancies from the study as originally planned have been explained.</w:t>
      </w:r>
    </w:p>
    <w:p>
      <w:pPr>
        <w:pStyle w:val="Heading2"/>
      </w:pPr>
      <w:r>
        <w:rPr>
          <w:rFonts w:ascii="Times New Roman" w:hAnsi="Times New Roman"/>
          <w:color w:val="000000"/>
        </w:rPr>
        <w:t>Dissemination to participants and related patient and public communities</w:t>
      </w:r>
    </w:p>
    <w:p>
      <w:pPr>
        <w:spacing w:after="120" w:line="480" w:lineRule="auto"/>
      </w:pPr>
      <w:r>
        <w:rPr>
          <w:rFonts w:ascii="Times New Roman" w:hAnsi="Times New Roman"/>
          <w:b w:val="0"/>
          <w:i w:val="0"/>
          <w:sz w:val="24"/>
        </w:rPr>
        <w:t>The results of this study will be made available to relevant stakeholders including the Japan Medical Safety Research Organisation and professional medical societies.</w:t>
      </w:r>
    </w:p>
    <w:p>
      <w:pPr>
        <w:pStyle w:val="Heading2"/>
      </w:pPr>
      <w:r>
        <w:rPr>
          <w:rFonts w:ascii="Times New Roman" w:hAnsi="Times New Roman"/>
          <w:color w:val="000000"/>
        </w:rPr>
        <w:t>Provenance and peer review</w:t>
      </w:r>
    </w:p>
    <w:p>
      <w:pPr>
        <w:spacing w:after="120" w:line="480" w:lineRule="auto"/>
      </w:pPr>
      <w:r>
        <w:rPr>
          <w:rFonts w:ascii="Times New Roman" w:hAnsi="Times New Roman"/>
          <w:b w:val="0"/>
          <w:i w:val="0"/>
          <w:sz w:val="24"/>
        </w:rPr>
        <w:t>Not commissioned; externally peer reviewed.</w:t>
      </w:r>
    </w:p>
    <w:p>
      <w:r>
        <w:br w:type="page"/>
      </w:r>
    </w:p>
    <w:p>
      <w:pPr>
        <w:pStyle w:val="Heading1"/>
      </w:pPr>
      <w:r>
        <w:rPr>
          <w:rFonts w:ascii="Times New Roman" w:hAnsi="Times New Roman"/>
          <w:color w:val="000000"/>
        </w:rPr>
        <w:t>Supplementary Materials</w:t>
      </w:r>
    </w:p>
    <w:p>
      <w:pPr>
        <w:pStyle w:val="Heading2"/>
      </w:pPr>
      <w:r>
        <w:rPr>
          <w:rFonts w:ascii="Times New Roman" w:hAnsi="Times New Roman"/>
          <w:color w:val="000000"/>
        </w:rPr>
        <w:t>Supplementary Table S1. Completed RECORD Checklist</w:t>
      </w:r>
    </w:p>
    <w:p>
      <w:pPr>
        <w:spacing w:after="240" w:line="480" w:lineRule="auto"/>
      </w:pPr>
      <w:r>
        <w:rPr>
          <w:rFonts w:ascii="Times New Roman" w:hAnsi="Times New Roman"/>
          <w:b w:val="0"/>
          <w:i/>
          <w:sz w:val="24"/>
        </w:rPr>
        <w:t>The RECORD statement extends the STROBE checklist for observational studies conducted using routinely collected health data. Items are numbered per the RECORD guideline (Benchimol et al., PLoS Med 2015;12:e1001885).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6"/>
              </w:rPr>
              <w:t>Item No.</w:t>
            </w:r>
          </w:p>
        </w:tc>
        <w:tc>
          <w:tcPr>
            <w:tcW w:type="dxa" w:w="3120"/>
          </w:tcPr>
          <w:p>
            <w:pPr>
              <w:jc w:val="center"/>
            </w:pPr>
            <w:r/>
            <w:r>
              <w:rPr>
                <w:rFonts w:ascii="Times New Roman" w:hAnsi="Times New Roman"/>
                <w:b/>
                <w:sz w:val="16"/>
              </w:rPr>
              <w:t>RECORD / STROBE Item</w:t>
            </w:r>
          </w:p>
        </w:tc>
        <w:tc>
          <w:tcPr>
            <w:tcW w:type="dxa" w:w="3120"/>
          </w:tcPr>
          <w:p>
            <w:pPr>
              <w:jc w:val="center"/>
            </w:pPr>
            <w:r/>
            <w:r>
              <w:rPr>
                <w:rFonts w:ascii="Times New Roman" w:hAnsi="Times New Roman"/>
                <w:b/>
                <w:sz w:val="16"/>
              </w:rPr>
              <w:t>Reported on page / section</w:t>
            </w:r>
          </w:p>
        </w:tc>
      </w:tr>
      <w:tr>
        <w:tc>
          <w:tcPr>
            <w:tcW w:type="dxa" w:w="3120"/>
          </w:tcPr>
          <w:p>
            <w:r/>
            <w:r>
              <w:rPr>
                <w:rFonts w:ascii="Times New Roman" w:hAnsi="Times New Roman"/>
                <w:b/>
                <w:sz w:val="16"/>
              </w:rPr>
              <w:t>Title and abstract</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w:t>
            </w:r>
          </w:p>
        </w:tc>
        <w:tc>
          <w:tcPr>
            <w:tcW w:type="dxa" w:w="3120"/>
          </w:tcPr>
          <w:p>
            <w:r/>
            <w:r>
              <w:rPr>
                <w:rFonts w:ascii="Times New Roman" w:hAnsi="Times New Roman"/>
                <w:sz w:val="16"/>
              </w:rPr>
              <w:t>Indicate the study design with a commonly used term in the title or abstract; provide an informative and balanced summary of what was done and what was found.</w:t>
            </w:r>
          </w:p>
        </w:tc>
        <w:tc>
          <w:tcPr>
            <w:tcW w:type="dxa" w:w="3120"/>
          </w:tcPr>
          <w:p>
            <w:r/>
            <w:r>
              <w:rPr>
                <w:rFonts w:ascii="Times New Roman" w:hAnsi="Times New Roman"/>
                <w:sz w:val="16"/>
              </w:rPr>
              <w:t>Title; Abstract</w:t>
            </w:r>
          </w:p>
        </w:tc>
      </w:tr>
      <w:tr>
        <w:tc>
          <w:tcPr>
            <w:tcW w:type="dxa" w:w="3120"/>
          </w:tcPr>
          <w:p>
            <w:r/>
            <w:r>
              <w:rPr>
                <w:rFonts w:ascii="Times New Roman" w:hAnsi="Times New Roman"/>
                <w:b/>
                <w:sz w:val="16"/>
              </w:rPr>
              <w:t>Introduction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w:t>
            </w:r>
          </w:p>
        </w:tc>
        <w:tc>
          <w:tcPr>
            <w:tcW w:type="dxa" w:w="3120"/>
          </w:tcPr>
          <w:p>
            <w:r/>
            <w:r>
              <w:rPr>
                <w:rFonts w:ascii="Times New Roman" w:hAnsi="Times New Roman"/>
                <w:sz w:val="16"/>
              </w:rPr>
              <w:t>Explain the scientific background and rationale for the investigation being reported.</w:t>
            </w:r>
          </w:p>
        </w:tc>
        <w:tc>
          <w:tcPr>
            <w:tcW w:type="dxa" w:w="3120"/>
          </w:tcPr>
          <w:p>
            <w:r/>
            <w:r>
              <w:rPr>
                <w:rFonts w:ascii="Times New Roman" w:hAnsi="Times New Roman"/>
                <w:sz w:val="16"/>
              </w:rPr>
              <w:t>Introduction ¶1–4</w:t>
            </w:r>
          </w:p>
        </w:tc>
      </w:tr>
      <w:tr>
        <w:tc>
          <w:tcPr>
            <w:tcW w:type="dxa" w:w="3120"/>
          </w:tcPr>
          <w:p>
            <w:r/>
            <w:r>
              <w:rPr>
                <w:rFonts w:ascii="Times New Roman" w:hAnsi="Times New Roman"/>
                <w:sz w:val="16"/>
              </w:rPr>
              <w:t>3</w:t>
            </w:r>
          </w:p>
        </w:tc>
        <w:tc>
          <w:tcPr>
            <w:tcW w:type="dxa" w:w="3120"/>
          </w:tcPr>
          <w:p>
            <w:r/>
            <w:r>
              <w:rPr>
                <w:rFonts w:ascii="Times New Roman" w:hAnsi="Times New Roman"/>
                <w:sz w:val="16"/>
              </w:rPr>
              <w:t>State specific objectives, including any prespecified hypotheses.</w:t>
            </w:r>
          </w:p>
        </w:tc>
        <w:tc>
          <w:tcPr>
            <w:tcW w:type="dxa" w:w="3120"/>
          </w:tcPr>
          <w:p>
            <w:r/>
            <w:r>
              <w:rPr>
                <w:rFonts w:ascii="Times New Roman" w:hAnsi="Times New Roman"/>
                <w:sz w:val="16"/>
              </w:rPr>
              <w:t>Introduction ¶4</w:t>
            </w:r>
          </w:p>
        </w:tc>
      </w:tr>
      <w:tr>
        <w:tc>
          <w:tcPr>
            <w:tcW w:type="dxa" w:w="3120"/>
          </w:tcPr>
          <w:p>
            <w:r/>
            <w:r>
              <w:rPr>
                <w:rFonts w:ascii="Times New Roman" w:hAnsi="Times New Roman"/>
                <w:b/>
                <w:sz w:val="16"/>
              </w:rPr>
              <w:t>Methods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4</w:t>
            </w:r>
          </w:p>
        </w:tc>
        <w:tc>
          <w:tcPr>
            <w:tcW w:type="dxa" w:w="3120"/>
          </w:tcPr>
          <w:p>
            <w:r/>
            <w:r>
              <w:rPr>
                <w:rFonts w:ascii="Times New Roman" w:hAnsi="Times New Roman"/>
                <w:sz w:val="16"/>
              </w:rPr>
              <w:t>Present key elements of study design early in the paper.</w:t>
            </w:r>
          </w:p>
        </w:tc>
        <w:tc>
          <w:tcPr>
            <w:tcW w:type="dxa" w:w="3120"/>
          </w:tcPr>
          <w:p>
            <w:r/>
            <w:r>
              <w:rPr>
                <w:rFonts w:ascii="Times New Roman" w:hAnsi="Times New Roman"/>
                <w:sz w:val="16"/>
              </w:rPr>
              <w:t>Methods: Study design</w:t>
            </w:r>
          </w:p>
        </w:tc>
      </w:tr>
      <w:tr>
        <w:tc>
          <w:tcPr>
            <w:tcW w:type="dxa" w:w="3120"/>
          </w:tcPr>
          <w:p>
            <w:r/>
            <w:r>
              <w:rPr>
                <w:rFonts w:ascii="Times New Roman" w:hAnsi="Times New Roman"/>
                <w:sz w:val="16"/>
              </w:rPr>
              <w:t>5</w:t>
            </w:r>
          </w:p>
        </w:tc>
        <w:tc>
          <w:tcPr>
            <w:tcW w:type="dxa" w:w="3120"/>
          </w:tcPr>
          <w:p>
            <w:r/>
            <w:r>
              <w:rPr>
                <w:rFonts w:ascii="Times New Roman" w:hAnsi="Times New Roman"/>
                <w:sz w:val="16"/>
              </w:rPr>
              <w:t>Describe the setting, locations, and relevant dates, including periods of recruitment, exposure, follow-up, and data collection.</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6a</w:t>
            </w:r>
          </w:p>
        </w:tc>
        <w:tc>
          <w:tcPr>
            <w:tcW w:type="dxa" w:w="3120"/>
          </w:tcPr>
          <w:p>
            <w:r/>
            <w:r>
              <w:rPr>
                <w:rFonts w:ascii="Times New Roman" w:hAnsi="Times New Roman"/>
                <w:sz w:val="16"/>
              </w:rPr>
              <w:t>Give the eligibility criteria, and the sources and methods of selection of participants. Describe methods of follow-up.</w:t>
            </w:r>
          </w:p>
        </w:tc>
        <w:tc>
          <w:tcPr>
            <w:tcW w:type="dxa" w:w="3120"/>
          </w:tcPr>
          <w:p>
            <w:r/>
            <w:r>
              <w:rPr>
                <w:rFonts w:ascii="Times New Roman" w:hAnsi="Times New Roman"/>
                <w:sz w:val="16"/>
              </w:rPr>
              <w:t>Methods: Specialties analysed</w:t>
            </w:r>
          </w:p>
        </w:tc>
      </w:tr>
      <w:tr>
        <w:tc>
          <w:tcPr>
            <w:tcW w:type="dxa" w:w="3120"/>
          </w:tcPr>
          <w:p>
            <w:r/>
            <w:r>
              <w:rPr>
                <w:rFonts w:ascii="Times New Roman" w:hAnsi="Times New Roman"/>
                <w:sz w:val="16"/>
              </w:rPr>
              <w:t>6b</w:t>
            </w:r>
          </w:p>
        </w:tc>
        <w:tc>
          <w:tcPr>
            <w:tcW w:type="dxa" w:w="3120"/>
          </w:tcPr>
          <w:p>
            <w:r/>
            <w:r>
              <w:rPr>
                <w:rFonts w:ascii="Times New Roman" w:hAnsi="Times New Roman"/>
                <w:sz w:val="16"/>
              </w:rPr>
              <w:t>For matched studies, give matching criteria and number of exposed and unexposed.</w:t>
            </w:r>
          </w:p>
        </w:tc>
        <w:tc>
          <w:tcPr>
            <w:tcW w:type="dxa" w:w="3120"/>
          </w:tcPr>
          <w:p>
            <w:r/>
            <w:r>
              <w:rPr>
                <w:rFonts w:ascii="Times New Roman" w:hAnsi="Times New Roman"/>
                <w:sz w:val="16"/>
              </w:rPr>
              <w:t>N/A</w:t>
            </w:r>
          </w:p>
        </w:tc>
      </w:tr>
      <w:tr>
        <w:tc>
          <w:tcPr>
            <w:tcW w:type="dxa" w:w="3120"/>
          </w:tcPr>
          <w:p>
            <w:r/>
            <w:r>
              <w:rPr>
                <w:rFonts w:ascii="Times New Roman" w:hAnsi="Times New Roman"/>
                <w:sz w:val="16"/>
              </w:rPr>
              <w:t>7</w:t>
            </w:r>
          </w:p>
        </w:tc>
        <w:tc>
          <w:tcPr>
            <w:tcW w:type="dxa" w:w="3120"/>
          </w:tcPr>
          <w:p>
            <w:r/>
            <w:r>
              <w:rPr>
                <w:rFonts w:ascii="Times New Roman" w:hAnsi="Times New Roman"/>
                <w:sz w:val="16"/>
              </w:rPr>
              <w:t>Clearly define all outcomes, exposures, predictors, potential confounders, and effect modifiers. Give diagnostic criteria, if applicable.</w:t>
            </w:r>
          </w:p>
        </w:tc>
        <w:tc>
          <w:tcPr>
            <w:tcW w:type="dxa" w:w="3120"/>
          </w:tcPr>
          <w:p>
            <w:r/>
            <w:r>
              <w:rPr>
                <w:rFonts w:ascii="Times New Roman" w:hAnsi="Times New Roman"/>
                <w:sz w:val="16"/>
              </w:rPr>
              <w:t>Methods: Data sources (Definitions 1–3); Statistical analysis</w:t>
            </w:r>
          </w:p>
        </w:tc>
      </w:tr>
      <w:tr>
        <w:tc>
          <w:tcPr>
            <w:tcW w:type="dxa" w:w="3120"/>
          </w:tcPr>
          <w:p>
            <w:r/>
            <w:r>
              <w:rPr>
                <w:rFonts w:ascii="Times New Roman" w:hAnsi="Times New Roman"/>
                <w:sz w:val="16"/>
              </w:rPr>
              <w:t>8</w:t>
            </w:r>
          </w:p>
        </w:tc>
        <w:tc>
          <w:tcPr>
            <w:tcW w:type="dxa" w:w="3120"/>
          </w:tcPr>
          <w:p>
            <w:r/>
            <w:r>
              <w:rPr>
                <w:rFonts w:ascii="Times New Roman" w:hAnsi="Times New Roman"/>
                <w:sz w:val="16"/>
              </w:rPr>
              <w:t>For each variable of interest, give sources of data and details of methods of assessment (measurement). Describe comparability of assessment methods if there is more than one group.</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9</w:t>
            </w:r>
          </w:p>
        </w:tc>
        <w:tc>
          <w:tcPr>
            <w:tcW w:type="dxa" w:w="3120"/>
          </w:tcPr>
          <w:p>
            <w:r/>
            <w:r>
              <w:rPr>
                <w:rFonts w:ascii="Times New Roman" w:hAnsi="Times New Roman"/>
                <w:sz w:val="16"/>
              </w:rPr>
              <w:t>Describe any efforts to address potential sources of bias.</w:t>
            </w:r>
          </w:p>
        </w:tc>
        <w:tc>
          <w:tcPr>
            <w:tcW w:type="dxa" w:w="3120"/>
          </w:tcPr>
          <w:p>
            <w:r/>
            <w:r>
              <w:rPr>
                <w:rFonts w:ascii="Times New Roman" w:hAnsi="Times New Roman"/>
                <w:sz w:val="16"/>
              </w:rPr>
              <w:t>Methods: Lead time estimation (detrending); Discussion: Limitations</w:t>
            </w:r>
          </w:p>
        </w:tc>
      </w:tr>
      <w:tr>
        <w:tc>
          <w:tcPr>
            <w:tcW w:type="dxa" w:w="3120"/>
          </w:tcPr>
          <w:p>
            <w:r/>
            <w:r>
              <w:rPr>
                <w:rFonts w:ascii="Times New Roman" w:hAnsi="Times New Roman"/>
                <w:sz w:val="16"/>
              </w:rPr>
              <w:t>10</w:t>
            </w:r>
          </w:p>
        </w:tc>
        <w:tc>
          <w:tcPr>
            <w:tcW w:type="dxa" w:w="3120"/>
          </w:tcPr>
          <w:p>
            <w:r/>
            <w:r>
              <w:rPr>
                <w:rFonts w:ascii="Times New Roman" w:hAnsi="Times New Roman"/>
                <w:sz w:val="16"/>
              </w:rPr>
              <w:t>Explain how the study size was arrived at.</w:t>
            </w:r>
          </w:p>
        </w:tc>
        <w:tc>
          <w:tcPr>
            <w:tcW w:type="dxa" w:w="3120"/>
          </w:tcPr>
          <w:p>
            <w:r/>
            <w:r>
              <w:rPr>
                <w:rFonts w:ascii="Times New Roman" w:hAnsi="Times New Roman"/>
                <w:sz w:val="16"/>
              </w:rPr>
              <w:t>Methods: Data sources (national population-level registries; all available years used)</w:t>
            </w:r>
          </w:p>
        </w:tc>
      </w:tr>
      <w:tr>
        <w:tc>
          <w:tcPr>
            <w:tcW w:type="dxa" w:w="3120"/>
          </w:tcPr>
          <w:p>
            <w:r/>
            <w:r>
              <w:rPr>
                <w:rFonts w:ascii="Times New Roman" w:hAnsi="Times New Roman"/>
                <w:sz w:val="16"/>
              </w:rPr>
              <w:t>11</w:t>
            </w:r>
          </w:p>
        </w:tc>
        <w:tc>
          <w:tcPr>
            <w:tcW w:type="dxa" w:w="3120"/>
          </w:tcPr>
          <w:p>
            <w:r/>
            <w:r>
              <w:rPr>
                <w:rFonts w:ascii="Times New Roman" w:hAnsi="Times New Roman"/>
                <w:sz w:val="16"/>
              </w:rPr>
              <w:t>Explain how quantitative variables were handled in the analyses.</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12</w:t>
            </w:r>
          </w:p>
        </w:tc>
        <w:tc>
          <w:tcPr>
            <w:tcW w:type="dxa" w:w="3120"/>
          </w:tcPr>
          <w:p>
            <w:r/>
            <w:r>
              <w:rPr>
                <w:rFonts w:ascii="Times New Roman" w:hAnsi="Times New Roman"/>
                <w:sz w:val="16"/>
              </w:rPr>
              <w:t>Describe all statistical methods, including those used to control for confounding.</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13</w:t>
            </w:r>
          </w:p>
        </w:tc>
        <w:tc>
          <w:tcPr>
            <w:tcW w:type="dxa" w:w="3120"/>
          </w:tcPr>
          <w:p>
            <w:r/>
            <w:r>
              <w:rPr>
                <w:rFonts w:ascii="Times New Roman" w:hAnsi="Times New Roman"/>
                <w:sz w:val="16"/>
              </w:rPr>
              <w:t>Report numbers of individuals at each stage of study.</w:t>
            </w:r>
          </w:p>
        </w:tc>
        <w:tc>
          <w:tcPr>
            <w:tcW w:type="dxa" w:w="3120"/>
          </w:tcPr>
          <w:p>
            <w:r/>
            <w:r>
              <w:rPr>
                <w:rFonts w:ascii="Times New Roman" w:hAnsi="Times New Roman"/>
                <w:sz w:val="16"/>
              </w:rPr>
              <w:t>Results: Descriptive overview</w:t>
            </w:r>
          </w:p>
        </w:tc>
      </w:tr>
      <w:tr>
        <w:tc>
          <w:tcPr>
            <w:tcW w:type="dxa" w:w="3120"/>
          </w:tcPr>
          <w:p>
            <w:r/>
            <w:r>
              <w:rPr>
                <w:rFonts w:ascii="Times New Roman" w:hAnsi="Times New Roman"/>
                <w:sz w:val="16"/>
              </w:rPr>
              <w:t>14</w:t>
            </w:r>
          </w:p>
        </w:tc>
        <w:tc>
          <w:tcPr>
            <w:tcW w:type="dxa" w:w="3120"/>
          </w:tcPr>
          <w:p>
            <w:r/>
            <w:r>
              <w:rPr>
                <w:rFonts w:ascii="Times New Roman" w:hAnsi="Times New Roman"/>
                <w:sz w:val="16"/>
              </w:rPr>
              <w:t>Give characteristics of study participants and information on exposures and potential confounders.</w:t>
            </w:r>
          </w:p>
        </w:tc>
        <w:tc>
          <w:tcPr>
            <w:tcW w:type="dxa" w:w="3120"/>
          </w:tcPr>
          <w:p>
            <w:r/>
            <w:r>
              <w:rPr>
                <w:rFonts w:ascii="Times New Roman" w:hAnsi="Times New Roman"/>
                <w:sz w:val="16"/>
              </w:rPr>
              <w:t>Results: Descriptive overview; Table 1</w:t>
            </w:r>
          </w:p>
        </w:tc>
      </w:tr>
      <w:tr>
        <w:tc>
          <w:tcPr>
            <w:tcW w:type="dxa" w:w="3120"/>
          </w:tcPr>
          <w:p>
            <w:r/>
            <w:r>
              <w:rPr>
                <w:rFonts w:ascii="Times New Roman" w:hAnsi="Times New Roman"/>
                <w:sz w:val="16"/>
              </w:rPr>
              <w:t>15</w:t>
            </w:r>
          </w:p>
        </w:tc>
        <w:tc>
          <w:tcPr>
            <w:tcW w:type="dxa" w:w="3120"/>
          </w:tcPr>
          <w:p>
            <w:r/>
            <w:r>
              <w:rPr>
                <w:rFonts w:ascii="Times New Roman" w:hAnsi="Times New Roman"/>
                <w:sz w:val="16"/>
              </w:rPr>
              <w:t>Report numbers of outcome events or summary measures.</w:t>
            </w:r>
          </w:p>
        </w:tc>
        <w:tc>
          <w:tcPr>
            <w:tcW w:type="dxa" w:w="3120"/>
          </w:tcPr>
          <w:p>
            <w:r/>
            <w:r>
              <w:rPr>
                <w:rFonts w:ascii="Times New Roman" w:hAnsi="Times New Roman"/>
                <w:sz w:val="16"/>
              </w:rPr>
              <w:t>Results; Tables 1–4</w:t>
            </w:r>
          </w:p>
        </w:tc>
      </w:tr>
      <w:tr>
        <w:tc>
          <w:tcPr>
            <w:tcW w:type="dxa" w:w="3120"/>
          </w:tcPr>
          <w:p>
            <w:r/>
            <w:r>
              <w:rPr>
                <w:rFonts w:ascii="Times New Roman" w:hAnsi="Times New Roman"/>
                <w:sz w:val="16"/>
              </w:rPr>
              <w:t>16</w:t>
            </w:r>
          </w:p>
        </w:tc>
        <w:tc>
          <w:tcPr>
            <w:tcW w:type="dxa" w:w="3120"/>
          </w:tcPr>
          <w:p>
            <w:r/>
            <w:r>
              <w:rPr>
                <w:rFonts w:ascii="Times New Roman" w:hAnsi="Times New Roman"/>
                <w:sz w:val="16"/>
              </w:rPr>
              <w:t>Give unadjusted estimates and, if applicable, confounder-adjusted estimates.</w:t>
            </w:r>
          </w:p>
        </w:tc>
        <w:tc>
          <w:tcPr>
            <w:tcW w:type="dxa" w:w="3120"/>
          </w:tcPr>
          <w:p>
            <w:r/>
            <w:r>
              <w:rPr>
                <w:rFonts w:ascii="Times New Roman" w:hAnsi="Times New Roman"/>
                <w:sz w:val="16"/>
              </w:rPr>
              <w:t>Results: Tables 1–4; Figures 2–8</w:t>
            </w:r>
          </w:p>
        </w:tc>
      </w:tr>
      <w:tr>
        <w:tc>
          <w:tcPr>
            <w:tcW w:type="dxa" w:w="3120"/>
          </w:tcPr>
          <w:p>
            <w:r/>
            <w:r>
              <w:rPr>
                <w:rFonts w:ascii="Times New Roman" w:hAnsi="Times New Roman"/>
                <w:sz w:val="16"/>
              </w:rPr>
              <w:t>17</w:t>
            </w:r>
          </w:p>
        </w:tc>
        <w:tc>
          <w:tcPr>
            <w:tcW w:type="dxa" w:w="3120"/>
          </w:tcPr>
          <w:p>
            <w:r/>
            <w:r>
              <w:rPr>
                <w:rFonts w:ascii="Times New Roman" w:hAnsi="Times New Roman"/>
                <w:sz w:val="16"/>
              </w:rPr>
              <w:t>Report other analyses done—e.g. analyses of subgroups and interactions.</w:t>
            </w:r>
          </w:p>
        </w:tc>
        <w:tc>
          <w:tcPr>
            <w:tcW w:type="dxa" w:w="3120"/>
          </w:tcPr>
          <w:p>
            <w:r/>
            <w:r>
              <w:rPr>
                <w:rFonts w:ascii="Times New Roman" w:hAnsi="Times New Roman"/>
                <w:sz w:val="16"/>
              </w:rPr>
              <w:t>Results: Trainee analysis; Window period estimates</w:t>
            </w:r>
          </w:p>
        </w:tc>
      </w:tr>
      <w:tr>
        <w:tc>
          <w:tcPr>
            <w:tcW w:type="dxa" w:w="3120"/>
          </w:tcPr>
          <w:p>
            <w:r/>
            <w:r>
              <w:rPr>
                <w:rFonts w:ascii="Times New Roman" w:hAnsi="Times New Roman"/>
                <w:b/>
                <w:sz w:val="16"/>
              </w:rPr>
              <w:t>Discussion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18</w:t>
            </w:r>
          </w:p>
        </w:tc>
        <w:tc>
          <w:tcPr>
            <w:tcW w:type="dxa" w:w="3120"/>
          </w:tcPr>
          <w:p>
            <w:r/>
            <w:r>
              <w:rPr>
                <w:rFonts w:ascii="Times New Roman" w:hAnsi="Times New Roman"/>
                <w:sz w:val="16"/>
              </w:rPr>
              <w:t>Summarise key results with reference to study objectives.</w:t>
            </w:r>
          </w:p>
        </w:tc>
        <w:tc>
          <w:tcPr>
            <w:tcW w:type="dxa" w:w="3120"/>
          </w:tcPr>
          <w:p>
            <w:r/>
            <w:r>
              <w:rPr>
                <w:rFonts w:ascii="Times New Roman" w:hAnsi="Times New Roman"/>
                <w:sz w:val="16"/>
              </w:rPr>
              <w:t>Discussion: Principal findings</w:t>
            </w:r>
          </w:p>
        </w:tc>
      </w:tr>
      <w:tr>
        <w:tc>
          <w:tcPr>
            <w:tcW w:type="dxa" w:w="3120"/>
          </w:tcPr>
          <w:p>
            <w:r/>
            <w:r>
              <w:rPr>
                <w:rFonts w:ascii="Times New Roman" w:hAnsi="Times New Roman"/>
                <w:sz w:val="16"/>
              </w:rPr>
              <w:t>19</w:t>
            </w:r>
          </w:p>
        </w:tc>
        <w:tc>
          <w:tcPr>
            <w:tcW w:type="dxa" w:w="3120"/>
          </w:tcPr>
          <w:p>
            <w:r/>
            <w:r>
              <w:rPr>
                <w:rFonts w:ascii="Times New Roman" w:hAnsi="Times New Roman"/>
                <w:sz w:val="16"/>
              </w:rPr>
              <w:t>Discuss limitations of the study, taking into account sources of potential bias or imprecision.</w:t>
            </w:r>
          </w:p>
        </w:tc>
        <w:tc>
          <w:tcPr>
            <w:tcW w:type="dxa" w:w="3120"/>
          </w:tcPr>
          <w:p>
            <w:r/>
            <w:r>
              <w:rPr>
                <w:rFonts w:ascii="Times New Roman" w:hAnsi="Times New Roman"/>
                <w:sz w:val="16"/>
              </w:rPr>
              <w:t>Discussion: Strengths and limitations</w:t>
            </w:r>
          </w:p>
        </w:tc>
      </w:tr>
      <w:tr>
        <w:tc>
          <w:tcPr>
            <w:tcW w:type="dxa" w:w="3120"/>
          </w:tcPr>
          <w:p>
            <w:r/>
            <w:r>
              <w:rPr>
                <w:rFonts w:ascii="Times New Roman" w:hAnsi="Times New Roman"/>
                <w:sz w:val="16"/>
              </w:rPr>
              <w:t>20</w:t>
            </w:r>
          </w:p>
        </w:tc>
        <w:tc>
          <w:tcPr>
            <w:tcW w:type="dxa" w:w="3120"/>
          </w:tcPr>
          <w:p>
            <w:r/>
            <w:r>
              <w:rPr>
                <w:rFonts w:ascii="Times New Roman" w:hAnsi="Times New Roman"/>
                <w:sz w:val="16"/>
              </w:rPr>
              <w:t>Give a cautious overall interpretation of results considering objectives, limitations, multiplicity of analyses, results from similar studies, and other relevant evidence.</w:t>
            </w:r>
          </w:p>
        </w:tc>
        <w:tc>
          <w:tcPr>
            <w:tcW w:type="dxa" w:w="3120"/>
          </w:tcPr>
          <w:p>
            <w:r/>
            <w:r>
              <w:rPr>
                <w:rFonts w:ascii="Times New Roman" w:hAnsi="Times New Roman"/>
                <w:sz w:val="16"/>
              </w:rPr>
              <w:t>Discussion: Comparison with existing literature; Policy implications</w:t>
            </w:r>
          </w:p>
        </w:tc>
      </w:tr>
      <w:tr>
        <w:tc>
          <w:tcPr>
            <w:tcW w:type="dxa" w:w="3120"/>
          </w:tcPr>
          <w:p>
            <w:r/>
            <w:r>
              <w:rPr>
                <w:rFonts w:ascii="Times New Roman" w:hAnsi="Times New Roman"/>
                <w:sz w:val="16"/>
              </w:rPr>
              <w:t>21</w:t>
            </w:r>
          </w:p>
        </w:tc>
        <w:tc>
          <w:tcPr>
            <w:tcW w:type="dxa" w:w="3120"/>
          </w:tcPr>
          <w:p>
            <w:r/>
            <w:r>
              <w:rPr>
                <w:rFonts w:ascii="Times New Roman" w:hAnsi="Times New Roman"/>
                <w:sz w:val="16"/>
              </w:rPr>
              <w:t>Discuss the generalisability (external validity) of the study results.</w:t>
            </w:r>
          </w:p>
        </w:tc>
        <w:tc>
          <w:tcPr>
            <w:tcW w:type="dxa" w:w="3120"/>
          </w:tcPr>
          <w:p>
            <w:r/>
            <w:r>
              <w:rPr>
                <w:rFonts w:ascii="Times New Roman" w:hAnsi="Times New Roman"/>
                <w:sz w:val="16"/>
              </w:rPr>
              <w:t>Discussion: Policy implications</w:t>
            </w:r>
          </w:p>
        </w:tc>
      </w:tr>
      <w:tr>
        <w:tc>
          <w:tcPr>
            <w:tcW w:type="dxa" w:w="3120"/>
          </w:tcPr>
          <w:p>
            <w:r/>
            <w:r>
              <w:rPr>
                <w:rFonts w:ascii="Times New Roman" w:hAnsi="Times New Roman"/>
                <w:b/>
                <w:sz w:val="16"/>
              </w:rPr>
              <w:t>Other information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22</w:t>
            </w:r>
          </w:p>
        </w:tc>
        <w:tc>
          <w:tcPr>
            <w:tcW w:type="dxa" w:w="3120"/>
          </w:tcPr>
          <w:p>
            <w:r/>
            <w:r>
              <w:rPr>
                <w:rFonts w:ascii="Times New Roman" w:hAnsi="Times New Roman"/>
                <w:sz w:val="16"/>
              </w:rPr>
              <w:t>Give the source of funding and the role of the funders.</w:t>
            </w:r>
          </w:p>
        </w:tc>
        <w:tc>
          <w:tcPr>
            <w:tcW w:type="dxa" w:w="3120"/>
          </w:tcPr>
          <w:p>
            <w:r/>
            <w:r>
              <w:rPr>
                <w:rFonts w:ascii="Times New Roman" w:hAnsi="Times New Roman"/>
                <w:sz w:val="16"/>
              </w:rPr>
              <w:t>Declarations: Funding</w:t>
            </w:r>
          </w:p>
        </w:tc>
      </w:tr>
      <w:tr>
        <w:tc>
          <w:tcPr>
            <w:tcW w:type="dxa" w:w="3120"/>
          </w:tcPr>
          <w:p>
            <w:r/>
            <w:r>
              <w:rPr>
                <w:rFonts w:ascii="Times New Roman" w:hAnsi="Times New Roman"/>
                <w:b/>
                <w:sz w:val="16"/>
              </w:rPr>
              <w:t>RECORD items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b/>
                <w:sz w:val="16"/>
              </w:rPr>
              <w:t>RECORD 1.1</w:t>
            </w:r>
          </w:p>
        </w:tc>
        <w:tc>
          <w:tcPr>
            <w:tcW w:type="dxa" w:w="3120"/>
          </w:tcPr>
          <w:p>
            <w:r/>
            <w:r>
              <w:rPr>
                <w:rFonts w:ascii="Times New Roman" w:hAnsi="Times New Roman"/>
                <w:sz w:val="16"/>
              </w:rPr>
              <w:t>The type of data used should be specified in the title or abstract. When possible, the name of the databases used should be included.</w:t>
            </w:r>
          </w:p>
        </w:tc>
        <w:tc>
          <w:tcPr>
            <w:tcW w:type="dxa" w:w="3120"/>
          </w:tcPr>
          <w:p>
            <w:r/>
            <w:r>
              <w:rPr>
                <w:rFonts w:ascii="Times New Roman" w:hAnsi="Times New Roman"/>
                <w:sz w:val="16"/>
              </w:rPr>
              <w:t>Title (interrupted time series); Abstract (JMSR, Supreme Court, MHLW surveys)</w:t>
            </w:r>
          </w:p>
        </w:tc>
      </w:tr>
      <w:tr>
        <w:tc>
          <w:tcPr>
            <w:tcW w:type="dxa" w:w="3120"/>
          </w:tcPr>
          <w:p>
            <w:r/>
            <w:r>
              <w:rPr>
                <w:rFonts w:ascii="Times New Roman" w:hAnsi="Times New Roman"/>
                <w:b/>
                <w:sz w:val="16"/>
              </w:rPr>
              <w:t>RECORD 1.2</w:t>
            </w:r>
          </w:p>
        </w:tc>
        <w:tc>
          <w:tcPr>
            <w:tcW w:type="dxa" w:w="3120"/>
          </w:tcPr>
          <w:p>
            <w:r/>
            <w:r>
              <w:rPr>
                <w:rFonts w:ascii="Times New Roman" w:hAnsi="Times New Roman"/>
                <w:sz w:val="16"/>
              </w:rPr>
              <w:t>If applicable, the geographic region and time frame within which the study took place should be reported in the title or abstract.</w:t>
            </w:r>
          </w:p>
        </w:tc>
        <w:tc>
          <w:tcPr>
            <w:tcW w:type="dxa" w:w="3120"/>
          </w:tcPr>
          <w:p>
            <w:r/>
            <w:r>
              <w:rPr>
                <w:rFonts w:ascii="Times New Roman" w:hAnsi="Times New Roman"/>
                <w:sz w:val="16"/>
              </w:rPr>
              <w:t>Title (Japan); Abstract (1994–2025)</w:t>
            </w:r>
          </w:p>
        </w:tc>
      </w:tr>
      <w:tr>
        <w:tc>
          <w:tcPr>
            <w:tcW w:type="dxa" w:w="3120"/>
          </w:tcPr>
          <w:p>
            <w:r/>
            <w:r>
              <w:rPr>
                <w:rFonts w:ascii="Times New Roman" w:hAnsi="Times New Roman"/>
                <w:b/>
                <w:sz w:val="16"/>
              </w:rPr>
              <w:t>RECORD 1.3</w:t>
            </w:r>
          </w:p>
        </w:tc>
        <w:tc>
          <w:tcPr>
            <w:tcW w:type="dxa" w:w="3120"/>
          </w:tcPr>
          <w:p>
            <w:r/>
            <w:r>
              <w:rPr>
                <w:rFonts w:ascii="Times New Roman" w:hAnsi="Times New Roman"/>
                <w:sz w:val="16"/>
              </w:rPr>
              <w:t>If linkage between databases was conducted for the study, this should be clearly stated in the title or abstract.</w:t>
            </w:r>
          </w:p>
        </w:tc>
        <w:tc>
          <w:tcPr>
            <w:tcW w:type="dxa" w:w="3120"/>
          </w:tcPr>
          <w:p>
            <w:r/>
            <w:r>
              <w:rPr>
                <w:rFonts w:ascii="Times New Roman" w:hAnsi="Times New Roman"/>
                <w:sz w:val="16"/>
              </w:rPr>
              <w:t>N/A (no record linkage)</w:t>
            </w:r>
          </w:p>
        </w:tc>
      </w:tr>
      <w:tr>
        <w:tc>
          <w:tcPr>
            <w:tcW w:type="dxa" w:w="3120"/>
          </w:tcPr>
          <w:p>
            <w:r/>
            <w:r>
              <w:rPr>
                <w:rFonts w:ascii="Times New Roman" w:hAnsi="Times New Roman"/>
                <w:b/>
                <w:sz w:val="16"/>
              </w:rPr>
              <w:t>RECORD 6.1</w:t>
            </w:r>
          </w:p>
        </w:tc>
        <w:tc>
          <w:tcPr>
            <w:tcW w:type="dxa" w:w="3120"/>
          </w:tcPr>
          <w:p>
            <w:r/>
            <w:r>
              <w:rPr>
                <w:rFonts w:ascii="Times New Roman" w:hAnsi="Times New Roman"/>
                <w:sz w:val="16"/>
              </w:rPr>
              <w:t>The methods of study population selection (e.g. codes or algorithms used to identify subjects) should be listed in detail.</w:t>
            </w:r>
          </w:p>
        </w:tc>
        <w:tc>
          <w:tcPr>
            <w:tcW w:type="dxa" w:w="3120"/>
          </w:tcPr>
          <w:p>
            <w:r/>
            <w:r>
              <w:rPr>
                <w:rFonts w:ascii="Times New Roman" w:hAnsi="Times New Roman"/>
                <w:sz w:val="16"/>
              </w:rPr>
              <w:t>Methods: Data sources; Specialties analysed</w:t>
            </w:r>
          </w:p>
        </w:tc>
      </w:tr>
      <w:tr>
        <w:tc>
          <w:tcPr>
            <w:tcW w:type="dxa" w:w="3120"/>
          </w:tcPr>
          <w:p>
            <w:r/>
            <w:r>
              <w:rPr>
                <w:rFonts w:ascii="Times New Roman" w:hAnsi="Times New Roman"/>
                <w:b/>
                <w:sz w:val="16"/>
              </w:rPr>
              <w:t>RECORD 6.2</w:t>
            </w:r>
          </w:p>
        </w:tc>
        <w:tc>
          <w:tcPr>
            <w:tcW w:type="dxa" w:w="3120"/>
          </w:tcPr>
          <w:p>
            <w:r/>
            <w:r>
              <w:rPr>
                <w:rFonts w:ascii="Times New Roman" w:hAnsi="Times New Roman"/>
                <w:sz w:val="16"/>
              </w:rPr>
              <w:t>Any validation studies of the codes or algorithms used to select the population should be referenced.</w:t>
            </w:r>
          </w:p>
        </w:tc>
        <w:tc>
          <w:tcPr>
            <w:tcW w:type="dxa" w:w="3120"/>
          </w:tcPr>
          <w:p>
            <w:r/>
            <w:r>
              <w:rPr>
                <w:rFonts w:ascii="Times New Roman" w:hAnsi="Times New Roman"/>
                <w:sz w:val="16"/>
              </w:rPr>
              <w:t>N/A (complete national registries used)</w:t>
            </w:r>
          </w:p>
        </w:tc>
      </w:tr>
      <w:tr>
        <w:tc>
          <w:tcPr>
            <w:tcW w:type="dxa" w:w="3120"/>
          </w:tcPr>
          <w:p>
            <w:r/>
            <w:r>
              <w:rPr>
                <w:rFonts w:ascii="Times New Roman" w:hAnsi="Times New Roman"/>
                <w:b/>
                <w:sz w:val="16"/>
              </w:rPr>
              <w:t>RECORD 6.3</w:t>
            </w:r>
          </w:p>
        </w:tc>
        <w:tc>
          <w:tcPr>
            <w:tcW w:type="dxa" w:w="3120"/>
          </w:tcPr>
          <w:p>
            <w:r/>
            <w:r>
              <w:rPr>
                <w:rFonts w:ascii="Times New Roman" w:hAnsi="Times New Roman"/>
                <w:sz w:val="16"/>
              </w:rPr>
              <w:t>If the study involved linkage of databases, consider use of a flow diagram or other graphical display to demonstrate the data linkage process.</w:t>
            </w:r>
          </w:p>
        </w:tc>
        <w:tc>
          <w:tcPr>
            <w:tcW w:type="dxa" w:w="3120"/>
          </w:tcPr>
          <w:p>
            <w:r/>
            <w:r>
              <w:rPr>
                <w:rFonts w:ascii="Times New Roman" w:hAnsi="Times New Roman"/>
                <w:sz w:val="16"/>
              </w:rPr>
              <w:t>N/A</w:t>
            </w:r>
          </w:p>
        </w:tc>
      </w:tr>
      <w:tr>
        <w:tc>
          <w:tcPr>
            <w:tcW w:type="dxa" w:w="3120"/>
          </w:tcPr>
          <w:p>
            <w:r/>
            <w:r>
              <w:rPr>
                <w:rFonts w:ascii="Times New Roman" w:hAnsi="Times New Roman"/>
                <w:b/>
                <w:sz w:val="16"/>
              </w:rPr>
              <w:t>RECORD 7.1</w:t>
            </w:r>
          </w:p>
        </w:tc>
        <w:tc>
          <w:tcPr>
            <w:tcW w:type="dxa" w:w="3120"/>
          </w:tcPr>
          <w:p>
            <w:r/>
            <w:r>
              <w:rPr>
                <w:rFonts w:ascii="Times New Roman" w:hAnsi="Times New Roman"/>
                <w:sz w:val="16"/>
              </w:rPr>
              <w:t>A complete list of codes and algorithms used to classify exposures, outcomes, confounders, and effect modifiers should be provided.</w:t>
            </w:r>
          </w:p>
        </w:tc>
        <w:tc>
          <w:tcPr>
            <w:tcW w:type="dxa" w:w="3120"/>
          </w:tcPr>
          <w:p>
            <w:r/>
            <w:r>
              <w:rPr>
                <w:rFonts w:ascii="Times New Roman" w:hAnsi="Times New Roman"/>
                <w:sz w:val="16"/>
              </w:rPr>
              <w:t>Methods: Data sources (Definitions 1–3)</w:t>
            </w:r>
          </w:p>
        </w:tc>
      </w:tr>
      <w:tr>
        <w:tc>
          <w:tcPr>
            <w:tcW w:type="dxa" w:w="3120"/>
          </w:tcPr>
          <w:p>
            <w:r/>
            <w:r>
              <w:rPr>
                <w:rFonts w:ascii="Times New Roman" w:hAnsi="Times New Roman"/>
                <w:b/>
                <w:sz w:val="16"/>
              </w:rPr>
              <w:t>RECORD 12.1</w:t>
            </w:r>
          </w:p>
        </w:tc>
        <w:tc>
          <w:tcPr>
            <w:tcW w:type="dxa" w:w="3120"/>
          </w:tcPr>
          <w:p>
            <w:r/>
            <w:r>
              <w:rPr>
                <w:rFonts w:ascii="Times New Roman" w:hAnsi="Times New Roman"/>
                <w:sz w:val="16"/>
              </w:rPr>
              <w:t>Authors should describe the extent to which the investigators had access to the database population used to create the study population.</w:t>
            </w:r>
          </w:p>
        </w:tc>
        <w:tc>
          <w:tcPr>
            <w:tcW w:type="dxa" w:w="3120"/>
          </w:tcPr>
          <w:p>
            <w:r/>
            <w:r>
              <w:rPr>
                <w:rFonts w:ascii="Times New Roman" w:hAnsi="Times New Roman"/>
                <w:sz w:val="16"/>
              </w:rPr>
              <w:t>All data sources are publicly available national aggregate statistics</w:t>
            </w:r>
          </w:p>
        </w:tc>
      </w:tr>
      <w:tr>
        <w:tc>
          <w:tcPr>
            <w:tcW w:type="dxa" w:w="3120"/>
          </w:tcPr>
          <w:p>
            <w:r/>
            <w:r>
              <w:rPr>
                <w:rFonts w:ascii="Times New Roman" w:hAnsi="Times New Roman"/>
                <w:b/>
                <w:sz w:val="16"/>
              </w:rPr>
              <w:t>RECORD 12.2</w:t>
            </w:r>
          </w:p>
        </w:tc>
        <w:tc>
          <w:tcPr>
            <w:tcW w:type="dxa" w:w="3120"/>
          </w:tcPr>
          <w:p>
            <w:r/>
            <w:r>
              <w:rPr>
                <w:rFonts w:ascii="Times New Roman" w:hAnsi="Times New Roman"/>
                <w:sz w:val="16"/>
              </w:rPr>
              <w:t>Authors should provide information on the data cleaning methods used.</w:t>
            </w:r>
          </w:p>
        </w:tc>
        <w:tc>
          <w:tcPr>
            <w:tcW w:type="dxa" w:w="3120"/>
          </w:tcPr>
          <w:p>
            <w:r/>
            <w:r>
              <w:rPr>
                <w:rFonts w:ascii="Times New Roman" w:hAnsi="Times New Roman"/>
                <w:sz w:val="16"/>
              </w:rPr>
              <w:t>Methods: Biennial data interpolated; min–max normalisation for composite</w:t>
            </w:r>
          </w:p>
        </w:tc>
      </w:tr>
      <w:tr>
        <w:tc>
          <w:tcPr>
            <w:tcW w:type="dxa" w:w="3120"/>
          </w:tcPr>
          <w:p>
            <w:r/>
            <w:r>
              <w:rPr>
                <w:rFonts w:ascii="Times New Roman" w:hAnsi="Times New Roman"/>
                <w:b/>
                <w:sz w:val="16"/>
              </w:rPr>
              <w:t>RECORD 13.1</w:t>
            </w:r>
          </w:p>
        </w:tc>
        <w:tc>
          <w:tcPr>
            <w:tcW w:type="dxa" w:w="3120"/>
          </w:tcPr>
          <w:p>
            <w:r/>
            <w:r>
              <w:rPr>
                <w:rFonts w:ascii="Times New Roman" w:hAnsi="Times New Roman"/>
                <w:sz w:val="16"/>
              </w:rPr>
              <w:t>Describe in detail the selection of the persons included in the study.</w:t>
            </w:r>
          </w:p>
        </w:tc>
        <w:tc>
          <w:tcPr>
            <w:tcW w:type="dxa" w:w="3120"/>
          </w:tcPr>
          <w:p>
            <w:r/>
            <w:r>
              <w:rPr>
                <w:rFonts w:ascii="Times New Roman" w:hAnsi="Times New Roman"/>
                <w:sz w:val="16"/>
              </w:rPr>
              <w:t>Methods: Specialties analysed (12 core specialties)</w:t>
            </w:r>
          </w:p>
        </w:tc>
      </w:tr>
      <w:tr>
        <w:tc>
          <w:tcPr>
            <w:tcW w:type="dxa" w:w="3120"/>
          </w:tcPr>
          <w:p>
            <w:r/>
            <w:r>
              <w:rPr>
                <w:rFonts w:ascii="Times New Roman" w:hAnsi="Times New Roman"/>
                <w:b/>
                <w:sz w:val="16"/>
              </w:rPr>
              <w:t>RECORD 22.1</w:t>
            </w:r>
          </w:p>
        </w:tc>
        <w:tc>
          <w:tcPr>
            <w:tcW w:type="dxa" w:w="3120"/>
          </w:tcPr>
          <w:p>
            <w:r/>
            <w:r>
              <w:rPr>
                <w:rFonts w:ascii="Times New Roman" w:hAnsi="Times New Roman"/>
                <w:sz w:val="16"/>
              </w:rPr>
              <w:t>Authors should provide information on how to access any supplemental information such as the study protocol, raw data, or programming code.</w:t>
            </w:r>
          </w:p>
        </w:tc>
        <w:tc>
          <w:tcPr>
            <w:tcW w:type="dxa" w:w="3120"/>
          </w:tcPr>
          <w:p>
            <w:r/>
            <w:r>
              <w:rPr>
                <w:rFonts w:ascii="Times New Roman" w:hAnsi="Times New Roman"/>
                <w:sz w:val="16"/>
              </w:rPr>
              <w:t>Declarations: Data sharing; GitHub repository</w:t>
            </w:r>
          </w:p>
        </w:tc>
      </w:tr>
    </w:tbl>
    <w:p/>
    <w:p>
      <w:r>
        <w:br w:type="page"/>
      </w:r>
    </w:p>
    <w:p>
      <w:pPr>
        <w:pStyle w:val="Heading2"/>
      </w:pPr>
      <w:r>
        <w:rPr>
          <w:rFonts w:ascii="Times New Roman" w:hAnsi="Times New Roman"/>
          <w:color w:val="000000"/>
        </w:rPr>
        <w:t>Supplementary Table S2. Full ITS Segmented Regression Results (All 53 Models)</w:t>
      </w:r>
    </w:p>
    <w:p>
      <w:pPr>
        <w:spacing w:after="240" w:line="480" w:lineRule="auto"/>
      </w:pPr>
      <w:r>
        <w:rPr>
          <w:rFonts w:ascii="Times New Roman" w:hAnsi="Times New Roman"/>
          <w:b w:val="0"/>
          <w:i/>
          <w:sz w:val="24"/>
        </w:rPr>
        <w:t>Coefficients from segmented regression models: Yₜ = β₀ + β₁·time + β₂·intervention + β₃·time_after + β₄·accident_rate + εₜ. P values &lt; 0.05 shown in bold in the source data.</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4"/>
              </w:rPr>
              <w:t>Specialty</w:t>
            </w:r>
          </w:p>
        </w:tc>
        <w:tc>
          <w:tcPr>
            <w:tcW w:type="dxa" w:w="1040"/>
          </w:tcPr>
          <w:p>
            <w:pPr>
              <w:jc w:val="center"/>
            </w:pPr>
            <w:r/>
            <w:r>
              <w:rPr>
                <w:rFonts w:ascii="Times New Roman" w:hAnsi="Times New Roman"/>
                <w:b/>
                <w:sz w:val="14"/>
              </w:rPr>
              <w:t>Definition</w:t>
            </w:r>
          </w:p>
        </w:tc>
        <w:tc>
          <w:tcPr>
            <w:tcW w:type="dxa" w:w="1040"/>
          </w:tcPr>
          <w:p>
            <w:pPr>
              <w:jc w:val="center"/>
            </w:pPr>
            <w:r/>
            <w:r>
              <w:rPr>
                <w:rFonts w:ascii="Times New Roman" w:hAnsi="Times New Roman"/>
                <w:b/>
                <w:sz w:val="14"/>
              </w:rPr>
              <w:t>Outcome</w:t>
            </w:r>
          </w:p>
        </w:tc>
        <w:tc>
          <w:tcPr>
            <w:tcW w:type="dxa" w:w="1040"/>
          </w:tcPr>
          <w:p>
            <w:pPr>
              <w:jc w:val="center"/>
            </w:pPr>
            <w:r/>
            <w:r>
              <w:rPr>
                <w:rFonts w:ascii="Times New Roman" w:hAnsi="Times New Roman"/>
                <w:b/>
                <w:sz w:val="14"/>
              </w:rPr>
              <w:t>R²</w:t>
            </w:r>
          </w:p>
        </w:tc>
        <w:tc>
          <w:tcPr>
            <w:tcW w:type="dxa" w:w="1040"/>
          </w:tcPr>
          <w:p>
            <w:pPr>
              <w:jc w:val="center"/>
            </w:pPr>
            <w:r/>
            <w:r>
              <w:rPr>
                <w:rFonts w:ascii="Times New Roman" w:hAnsi="Times New Roman"/>
                <w:b/>
                <w:sz w:val="14"/>
              </w:rPr>
              <w:t>Intervention yr</w:t>
            </w:r>
          </w:p>
        </w:tc>
        <w:tc>
          <w:tcPr>
            <w:tcW w:type="dxa" w:w="1040"/>
          </w:tcPr>
          <w:p>
            <w:pPr>
              <w:jc w:val="center"/>
            </w:pPr>
            <w:r/>
            <w:r>
              <w:rPr>
                <w:rFonts w:ascii="Times New Roman" w:hAnsi="Times New Roman"/>
                <w:b/>
                <w:sz w:val="14"/>
              </w:rPr>
              <w:t>Trend coef (P)</w:t>
            </w:r>
          </w:p>
        </w:tc>
        <w:tc>
          <w:tcPr>
            <w:tcW w:type="dxa" w:w="1040"/>
          </w:tcPr>
          <w:p>
            <w:pPr>
              <w:jc w:val="center"/>
            </w:pPr>
            <w:r/>
            <w:r>
              <w:rPr>
                <w:rFonts w:ascii="Times New Roman" w:hAnsi="Times New Roman"/>
                <w:b/>
                <w:sz w:val="14"/>
              </w:rPr>
              <w:t>Level change (P)</w:t>
            </w:r>
          </w:p>
        </w:tc>
        <w:tc>
          <w:tcPr>
            <w:tcW w:type="dxa" w:w="1040"/>
          </w:tcPr>
          <w:p>
            <w:pPr>
              <w:jc w:val="center"/>
            </w:pPr>
            <w:r/>
            <w:r>
              <w:rPr>
                <w:rFonts w:ascii="Times New Roman" w:hAnsi="Times New Roman"/>
                <w:b/>
                <w:sz w:val="14"/>
              </w:rPr>
              <w:t>Slope change (P)</w:t>
            </w:r>
          </w:p>
        </w:tc>
        <w:tc>
          <w:tcPr>
            <w:tcW w:type="dxa" w:w="1040"/>
          </w:tcPr>
          <w:p>
            <w:pPr>
              <w:jc w:val="center"/>
            </w:pPr>
            <w:r/>
            <w:r>
              <w:rPr>
                <w:rFonts w:ascii="Times New Roman" w:hAnsi="Times New Roman"/>
                <w:b/>
                <w:sz w:val="14"/>
              </w:rPr>
              <w:t>Accident effect (P)</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374.4 (0.000)</w:t>
            </w:r>
          </w:p>
        </w:tc>
        <w:tc>
          <w:tcPr>
            <w:tcW w:type="dxa" w:w="1040"/>
          </w:tcPr>
          <w:p>
            <w:pPr>
              <w:jc w:val="center"/>
            </w:pPr>
            <w:r/>
            <w:r>
              <w:rPr>
                <w:rFonts w:ascii="Times New Roman" w:hAnsi="Times New Roman"/>
                <w:sz w:val="14"/>
              </w:rPr>
              <w:t>-82.6 (0.302)</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1.8 (0.407)</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-245.4 (0.000)</w:t>
            </w:r>
          </w:p>
        </w:tc>
        <w:tc>
          <w:tcPr>
            <w:tcW w:type="dxa" w:w="1040"/>
          </w:tcPr>
          <w:p>
            <w:pPr>
              <w:jc w:val="center"/>
            </w:pPr>
            <w:r/>
            <w:r>
              <w:rPr>
                <w:rFonts w:ascii="Times New Roman" w:hAnsi="Times New Roman"/>
                <w:sz w:val="14"/>
              </w:rPr>
              <w:t>253.4 (0.050)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-5.1 (0.119)</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-323.0 (0.000)</w:t>
            </w:r>
          </w:p>
        </w:tc>
        <w:tc>
          <w:tcPr>
            <w:tcW w:type="dxa" w:w="1040"/>
          </w:tcPr>
          <w:p>
            <w:pPr>
              <w:jc w:val="center"/>
            </w:pPr>
            <w:r/>
            <w:r>
              <w:rPr>
                <w:rFonts w:ascii="Times New Roman" w:hAnsi="Times New Roman"/>
                <w:sz w:val="14"/>
              </w:rPr>
              <w:t>-434.4 (0.003)</w:t>
            </w:r>
          </w:p>
        </w:tc>
        <w:tc>
          <w:tcPr>
            <w:tcW w:type="dxa" w:w="1040"/>
          </w:tcPr>
          <w:p>
            <w:pPr>
              <w:jc w:val="center"/>
            </w:pPr>
            <w:r/>
            <w:r>
              <w:rPr>
                <w:rFonts w:ascii="Times New Roman" w:hAnsi="Times New Roman"/>
                <w:sz w:val="14"/>
              </w:rPr>
              <w:t>111.3 (0.073)</w:t>
            </w:r>
          </w:p>
        </w:tc>
        <w:tc>
          <w:tcPr>
            <w:tcW w:type="dxa" w:w="1040"/>
          </w:tcPr>
          <w:p>
            <w:pPr>
              <w:jc w:val="center"/>
            </w:pPr>
            <w:r/>
            <w:r>
              <w:rPr>
                <w:rFonts w:ascii="Times New Roman" w:hAnsi="Times New Roman"/>
                <w:sz w:val="14"/>
              </w:rPr>
              <w:t>5.3 (0.066)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-425.4 (0.000)</w:t>
            </w:r>
          </w:p>
        </w:tc>
        <w:tc>
          <w:tcPr>
            <w:tcW w:type="dxa" w:w="1040"/>
          </w:tcPr>
          <w:p>
            <w:pPr>
              <w:jc w:val="center"/>
            </w:pPr>
            <w:r/>
            <w:r>
              <w:rPr>
                <w:rFonts w:ascii="Times New Roman" w:hAnsi="Times New Roman"/>
                <w:sz w:val="14"/>
              </w:rPr>
              <w:t>-556.2 (0.006)</w:t>
            </w:r>
          </w:p>
        </w:tc>
        <w:tc>
          <w:tcPr>
            <w:tcW w:type="dxa" w:w="1040"/>
          </w:tcPr>
          <w:p>
            <w:pPr>
              <w:jc w:val="center"/>
            </w:pPr>
            <w:r/>
            <w:r>
              <w:rPr>
                <w:rFonts w:ascii="Times New Roman" w:hAnsi="Times New Roman"/>
                <w:sz w:val="14"/>
              </w:rPr>
              <w:t>130.8 (0.125)</w:t>
            </w:r>
          </w:p>
        </w:tc>
        <w:tc>
          <w:tcPr>
            <w:tcW w:type="dxa" w:w="1040"/>
          </w:tcPr>
          <w:p>
            <w:pPr>
              <w:jc w:val="center"/>
            </w:pPr>
            <w:r/>
            <w:r>
              <w:rPr>
                <w:rFonts w:ascii="Times New Roman" w:hAnsi="Times New Roman"/>
                <w:sz w:val="14"/>
              </w:rPr>
              <w:t>8.0 (0.056)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0.994</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-572.8 (0.000)</w:t>
            </w:r>
          </w:p>
        </w:tc>
        <w:tc>
          <w:tcPr>
            <w:tcW w:type="dxa" w:w="1040"/>
          </w:tcPr>
          <w:p>
            <w:pPr>
              <w:jc w:val="center"/>
            </w:pPr>
            <w:r/>
            <w:r>
              <w:rPr>
                <w:rFonts w:ascii="Times New Roman" w:hAnsi="Times New Roman"/>
                <w:sz w:val="14"/>
              </w:rPr>
              <w:t>-841.2 (0.000)</w:t>
            </w:r>
          </w:p>
        </w:tc>
        <w:tc>
          <w:tcPr>
            <w:tcW w:type="dxa" w:w="1040"/>
          </w:tcPr>
          <w:p>
            <w:pPr>
              <w:jc w:val="center"/>
            </w:pPr>
            <w:r/>
            <w:r>
              <w:rPr>
                <w:rFonts w:ascii="Times New Roman" w:hAnsi="Times New Roman"/>
                <w:sz w:val="14"/>
              </w:rPr>
              <w:t>268.4 (0.006)</w:t>
            </w:r>
          </w:p>
        </w:tc>
        <w:tc>
          <w:tcPr>
            <w:tcW w:type="dxa" w:w="1040"/>
          </w:tcPr>
          <w:p>
            <w:pPr>
              <w:jc w:val="center"/>
            </w:pPr>
            <w:r/>
            <w:r>
              <w:rPr>
                <w:rFonts w:ascii="Times New Roman" w:hAnsi="Times New Roman"/>
                <w:sz w:val="14"/>
              </w:rPr>
              <w:t>19.3 (0.000)</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159.5 (0.040)</w:t>
            </w:r>
          </w:p>
        </w:tc>
        <w:tc>
          <w:tcPr>
            <w:tcW w:type="dxa" w:w="1040"/>
          </w:tcPr>
          <w:p>
            <w:pPr>
              <w:jc w:val="center"/>
            </w:pPr>
            <w:r/>
            <w:r>
              <w:rPr>
                <w:rFonts w:ascii="Times New Roman" w:hAnsi="Times New Roman"/>
                <w:sz w:val="14"/>
              </w:rPr>
              <w:t>43.9 (0.557)</w:t>
            </w:r>
          </w:p>
        </w:tc>
        <w:tc>
          <w:tcPr>
            <w:tcW w:type="dxa" w:w="1040"/>
          </w:tcPr>
          <w:p>
            <w:pPr>
              <w:jc w:val="center"/>
            </w:pPr>
            <w:r/>
            <w:r>
              <w:rPr>
                <w:rFonts w:ascii="Times New Roman" w:hAnsi="Times New Roman"/>
                <w:sz w:val="14"/>
              </w:rPr>
              <w:t>29.9 (0.638)</w:t>
            </w:r>
          </w:p>
        </w:tc>
        <w:tc>
          <w:tcPr>
            <w:tcW w:type="dxa" w:w="1040"/>
          </w:tcPr>
          <w:p>
            <w:pPr>
              <w:jc w:val="center"/>
            </w:pPr>
            <w:r/>
            <w:r>
              <w:rPr>
                <w:rFonts w:ascii="Times New Roman" w:hAnsi="Times New Roman"/>
                <w:sz w:val="14"/>
              </w:rPr>
              <w:t>1.2 (0.552)</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0.996</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-62.6 (0.023)</w:t>
            </w:r>
          </w:p>
        </w:tc>
        <w:tc>
          <w:tcPr>
            <w:tcW w:type="dxa" w:w="1040"/>
          </w:tcPr>
          <w:p>
            <w:pPr>
              <w:jc w:val="center"/>
            </w:pPr>
            <w:r/>
            <w:r>
              <w:rPr>
                <w:rFonts w:ascii="Times New Roman" w:hAnsi="Times New Roman"/>
                <w:sz w:val="14"/>
              </w:rPr>
              <w:t>10.2 (0.682)</w:t>
            </w:r>
          </w:p>
        </w:tc>
        <w:tc>
          <w:tcPr>
            <w:tcW w:type="dxa" w:w="1040"/>
          </w:tcPr>
          <w:p>
            <w:pPr>
              <w:jc w:val="center"/>
            </w:pPr>
            <w:r/>
            <w:r>
              <w:rPr>
                <w:rFonts w:ascii="Times New Roman" w:hAnsi="Times New Roman"/>
                <w:sz w:val="14"/>
              </w:rPr>
              <w:t>33.8 (0.154)</w:t>
            </w:r>
          </w:p>
        </w:tc>
        <w:tc>
          <w:tcPr>
            <w:tcW w:type="dxa" w:w="1040"/>
          </w:tcPr>
          <w:p>
            <w:pPr>
              <w:jc w:val="center"/>
            </w:pPr>
            <w:r/>
            <w:r>
              <w:rPr>
                <w:rFonts w:ascii="Times New Roman" w:hAnsi="Times New Roman"/>
                <w:sz w:val="14"/>
              </w:rPr>
              <w:t>0.5 (0.460)</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88.0 (0.000)</w:t>
            </w:r>
          </w:p>
        </w:tc>
        <w:tc>
          <w:tcPr>
            <w:tcW w:type="dxa" w:w="1040"/>
          </w:tcPr>
          <w:p>
            <w:pPr>
              <w:jc w:val="center"/>
            </w:pPr>
            <w:r/>
            <w:r>
              <w:rPr>
                <w:rFonts w:ascii="Times New Roman" w:hAnsi="Times New Roman"/>
                <w:sz w:val="14"/>
              </w:rPr>
              <w:t>-38.2 (0.060)</w:t>
            </w:r>
          </w:p>
        </w:tc>
        <w:tc>
          <w:tcPr>
            <w:tcW w:type="dxa" w:w="1040"/>
          </w:tcPr>
          <w:p>
            <w:pPr>
              <w:jc w:val="center"/>
            </w:pPr>
            <w:r/>
            <w:r>
              <w:rPr>
                <w:rFonts w:ascii="Times New Roman" w:hAnsi="Times New Roman"/>
                <w:sz w:val="14"/>
              </w:rPr>
              <w:t>3.8 (0.570)</w:t>
            </w:r>
          </w:p>
        </w:tc>
        <w:tc>
          <w:tcPr>
            <w:tcW w:type="dxa" w:w="1040"/>
          </w:tcPr>
          <w:p>
            <w:pPr>
              <w:jc w:val="center"/>
            </w:pPr>
            <w:r/>
            <w:r>
              <w:rPr>
                <w:rFonts w:ascii="Times New Roman" w:hAnsi="Times New Roman"/>
                <w:sz w:val="14"/>
              </w:rPr>
              <w:t>4.9 (0.167)</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82.5 (0.000)</w:t>
            </w:r>
          </w:p>
        </w:tc>
        <w:tc>
          <w:tcPr>
            <w:tcW w:type="dxa" w:w="1040"/>
          </w:tcPr>
          <w:p>
            <w:pPr>
              <w:jc w:val="center"/>
            </w:pPr>
            <w:r/>
            <w:r>
              <w:rPr>
                <w:rFonts w:ascii="Times New Roman" w:hAnsi="Times New Roman"/>
                <w:sz w:val="14"/>
              </w:rPr>
              <w:t>-7.3 (0.411)</w:t>
            </w:r>
          </w:p>
        </w:tc>
        <w:tc>
          <w:tcPr>
            <w:tcW w:type="dxa" w:w="1040"/>
          </w:tcPr>
          <w:p>
            <w:pPr>
              <w:jc w:val="center"/>
            </w:pPr>
            <w:r/>
            <w:r>
              <w:rPr>
                <w:rFonts w:ascii="Times New Roman" w:hAnsi="Times New Roman"/>
                <w:sz w:val="14"/>
              </w:rPr>
              <w:t>13.4 (0.009)</w:t>
            </w:r>
          </w:p>
        </w:tc>
        <w:tc>
          <w:tcPr>
            <w:tcW w:type="dxa" w:w="1040"/>
          </w:tcPr>
          <w:p>
            <w:pPr>
              <w:jc w:val="center"/>
            </w:pPr>
            <w:r/>
            <w:r>
              <w:rPr>
                <w:rFonts w:ascii="Times New Roman" w:hAnsi="Times New Roman"/>
                <w:sz w:val="14"/>
              </w:rPr>
              <w:t>2.0 (0.248)</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2019</w:t>
            </w:r>
          </w:p>
        </w:tc>
        <w:tc>
          <w:tcPr>
            <w:tcW w:type="dxa" w:w="1040"/>
          </w:tcPr>
          <w:p>
            <w:pPr>
              <w:jc w:val="center"/>
            </w:pPr>
            <w:r/>
            <w:r>
              <w:rPr>
                <w:rFonts w:ascii="Times New Roman" w:hAnsi="Times New Roman"/>
                <w:sz w:val="14"/>
              </w:rPr>
              <w:t>72.9 (0.000)</w:t>
            </w:r>
          </w:p>
        </w:tc>
        <w:tc>
          <w:tcPr>
            <w:tcW w:type="dxa" w:w="1040"/>
          </w:tcPr>
          <w:p>
            <w:pPr>
              <w:jc w:val="center"/>
            </w:pPr>
            <w:r/>
            <w:r>
              <w:rPr>
                <w:rFonts w:ascii="Times New Roman" w:hAnsi="Times New Roman"/>
                <w:sz w:val="14"/>
              </w:rPr>
              <w:t>5.9 (0.776)</w:t>
            </w:r>
          </w:p>
        </w:tc>
        <w:tc>
          <w:tcPr>
            <w:tcW w:type="dxa" w:w="1040"/>
          </w:tcPr>
          <w:p>
            <w:pPr>
              <w:jc w:val="center"/>
            </w:pPr>
            <w:r/>
            <w:r>
              <w:rPr>
                <w:rFonts w:ascii="Times New Roman" w:hAnsi="Times New Roman"/>
                <w:sz w:val="14"/>
              </w:rPr>
              <w:t>22.9 (0.001)</w:t>
            </w:r>
          </w:p>
        </w:tc>
        <w:tc>
          <w:tcPr>
            <w:tcW w:type="dxa" w:w="1040"/>
          </w:tcPr>
          <w:p>
            <w:pPr>
              <w:jc w:val="center"/>
            </w:pPr>
            <w:r/>
            <w:r>
              <w:rPr>
                <w:rFonts w:ascii="Times New Roman" w:hAnsi="Times New Roman"/>
                <w:sz w:val="14"/>
              </w:rPr>
              <w:t>4.1 (0.005)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0.995</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-10.1 (0.895)</w:t>
            </w:r>
          </w:p>
        </w:tc>
        <w:tc>
          <w:tcPr>
            <w:tcW w:type="dxa" w:w="1040"/>
          </w:tcPr>
          <w:p>
            <w:pPr>
              <w:jc w:val="center"/>
            </w:pPr>
            <w:r/>
            <w:r>
              <w:rPr>
                <w:rFonts w:ascii="Times New Roman" w:hAnsi="Times New Roman"/>
                <w:sz w:val="14"/>
              </w:rPr>
              <w:t>91.1 (0.327)</w:t>
            </w:r>
          </w:p>
        </w:tc>
        <w:tc>
          <w:tcPr>
            <w:tcW w:type="dxa" w:w="1040"/>
          </w:tcPr>
          <w:p>
            <w:pPr>
              <w:jc w:val="center"/>
            </w:pPr>
            <w:r/>
            <w:r>
              <w:rPr>
                <w:rFonts w:ascii="Times New Roman" w:hAnsi="Times New Roman"/>
                <w:sz w:val="14"/>
              </w:rPr>
              <w:t>132.7 (0.158)</w:t>
            </w:r>
          </w:p>
        </w:tc>
        <w:tc>
          <w:tcPr>
            <w:tcW w:type="dxa" w:w="1040"/>
          </w:tcPr>
          <w:p>
            <w:pPr>
              <w:jc w:val="center"/>
            </w:pPr>
            <w:r/>
            <w:r>
              <w:rPr>
                <w:rFonts w:ascii="Times New Roman" w:hAnsi="Times New Roman"/>
                <w:sz w:val="14"/>
              </w:rPr>
              <w:t>17.7 (0.021)</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-132.2 (0.002)</w:t>
            </w:r>
          </w:p>
        </w:tc>
        <w:tc>
          <w:tcPr>
            <w:tcW w:type="dxa" w:w="1040"/>
          </w:tcPr>
          <w:p>
            <w:pPr>
              <w:jc w:val="center"/>
            </w:pPr>
            <w:r/>
            <w:r>
              <w:rPr>
                <w:rFonts w:ascii="Times New Roman" w:hAnsi="Times New Roman"/>
                <w:sz w:val="14"/>
              </w:rPr>
              <w:t>26.0 (0.347)</w:t>
            </w:r>
          </w:p>
        </w:tc>
        <w:tc>
          <w:tcPr>
            <w:tcW w:type="dxa" w:w="1040"/>
          </w:tcPr>
          <w:p>
            <w:pPr>
              <w:jc w:val="center"/>
            </w:pPr>
            <w:r/>
            <w:r>
              <w:rPr>
                <w:rFonts w:ascii="Times New Roman" w:hAnsi="Times New Roman"/>
                <w:sz w:val="14"/>
              </w:rPr>
              <w:t>81.3 (0.019)</w:t>
            </w:r>
          </w:p>
        </w:tc>
        <w:tc>
          <w:tcPr>
            <w:tcW w:type="dxa" w:w="1040"/>
          </w:tcPr>
          <w:p>
            <w:pPr>
              <w:jc w:val="center"/>
            </w:pPr>
            <w:r/>
            <w:r>
              <w:rPr>
                <w:rFonts w:ascii="Times New Roman" w:hAnsi="Times New Roman"/>
                <w:sz w:val="14"/>
              </w:rPr>
              <w:t>4.3 (0.042)</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0.977</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71.5 (0.606)</w:t>
            </w:r>
          </w:p>
        </w:tc>
        <w:tc>
          <w:tcPr>
            <w:tcW w:type="dxa" w:w="1040"/>
          </w:tcPr>
          <w:p>
            <w:pPr>
              <w:jc w:val="center"/>
            </w:pPr>
            <w:r/>
            <w:r>
              <w:rPr>
                <w:rFonts w:ascii="Times New Roman" w:hAnsi="Times New Roman"/>
                <w:sz w:val="14"/>
              </w:rPr>
              <w:t>-663.9 (0.007)</w:t>
            </w:r>
          </w:p>
        </w:tc>
        <w:tc>
          <w:tcPr>
            <w:tcW w:type="dxa" w:w="1040"/>
          </w:tcPr>
          <w:p>
            <w:pPr>
              <w:jc w:val="center"/>
            </w:pPr>
            <w:r/>
            <w:r>
              <w:rPr>
                <w:rFonts w:ascii="Times New Roman" w:hAnsi="Times New Roman"/>
                <w:sz w:val="14"/>
              </w:rPr>
              <w:t>92.5 (0.499)</w:t>
            </w:r>
          </w:p>
        </w:tc>
        <w:tc>
          <w:tcPr>
            <w:tcW w:type="dxa" w:w="1040"/>
          </w:tcPr>
          <w:p>
            <w:pPr>
              <w:jc w:val="center"/>
            </w:pPr>
            <w:r/>
            <w:r>
              <w:rPr>
                <w:rFonts w:ascii="Times New Roman" w:hAnsi="Times New Roman"/>
                <w:sz w:val="14"/>
              </w:rPr>
              <w:t>11.6 (0.000)</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-111.9 (0.000)</w:t>
            </w:r>
          </w:p>
        </w:tc>
        <w:tc>
          <w:tcPr>
            <w:tcW w:type="dxa" w:w="1040"/>
          </w:tcPr>
          <w:p>
            <w:pPr>
              <w:jc w:val="center"/>
            </w:pPr>
            <w:r/>
            <w:r>
              <w:rPr>
                <w:rFonts w:ascii="Times New Roman" w:hAnsi="Times New Roman"/>
                <w:sz w:val="14"/>
              </w:rPr>
              <w:t>-157.7 (0.004)</w:t>
            </w:r>
          </w:p>
        </w:tc>
        <w:tc>
          <w:tcPr>
            <w:tcW w:type="dxa" w:w="1040"/>
          </w:tcPr>
          <w:p>
            <w:pPr>
              <w:jc w:val="center"/>
            </w:pPr>
            <w:r/>
            <w:r>
              <w:rPr>
                <w:rFonts w:ascii="Times New Roman" w:hAnsi="Times New Roman"/>
                <w:sz w:val="14"/>
              </w:rPr>
              <w:t>45.8 (0.073)</w:t>
            </w:r>
          </w:p>
        </w:tc>
        <w:tc>
          <w:tcPr>
            <w:tcW w:type="dxa" w:w="1040"/>
          </w:tcPr>
          <w:p>
            <w:pPr>
              <w:jc w:val="center"/>
            </w:pPr>
            <w:r/>
            <w:r>
              <w:rPr>
                <w:rFonts w:ascii="Times New Roman" w:hAnsi="Times New Roman"/>
                <w:sz w:val="14"/>
              </w:rPr>
              <w:t>5.5 (0.000)</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115.1 (0.013)</w:t>
            </w:r>
          </w:p>
        </w:tc>
        <w:tc>
          <w:tcPr>
            <w:tcW w:type="dxa" w:w="1040"/>
          </w:tcPr>
          <w:p>
            <w:pPr>
              <w:jc w:val="center"/>
            </w:pPr>
            <w:r/>
            <w:r>
              <w:rPr>
                <w:rFonts w:ascii="Times New Roman" w:hAnsi="Times New Roman"/>
                <w:sz w:val="14"/>
              </w:rPr>
              <w:t>12.0 (0.870)</w:t>
            </w:r>
          </w:p>
        </w:tc>
        <w:tc>
          <w:tcPr>
            <w:tcW w:type="dxa" w:w="1040"/>
          </w:tcPr>
          <w:p>
            <w:pPr>
              <w:jc w:val="center"/>
            </w:pPr>
            <w:r/>
            <w:r>
              <w:rPr>
                <w:rFonts w:ascii="Times New Roman" w:hAnsi="Times New Roman"/>
                <w:sz w:val="14"/>
              </w:rPr>
              <w:t>103.1 (0.035)</w:t>
            </w:r>
          </w:p>
        </w:tc>
        <w:tc>
          <w:tcPr>
            <w:tcW w:type="dxa" w:w="1040"/>
          </w:tcPr>
          <w:p>
            <w:pPr>
              <w:jc w:val="center"/>
            </w:pPr>
            <w:r/>
            <w:r>
              <w:rPr>
                <w:rFonts w:ascii="Times New Roman" w:hAnsi="Times New Roman"/>
                <w:sz w:val="14"/>
              </w:rPr>
              <w:t>-3.6 (0.599)</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-165.5 (0.000)</w:t>
            </w:r>
          </w:p>
        </w:tc>
        <w:tc>
          <w:tcPr>
            <w:tcW w:type="dxa" w:w="1040"/>
          </w:tcPr>
          <w:p>
            <w:pPr>
              <w:jc w:val="center"/>
            </w:pPr>
            <w:r/>
            <w:r>
              <w:rPr>
                <w:rFonts w:ascii="Times New Roman" w:hAnsi="Times New Roman"/>
                <w:sz w:val="14"/>
              </w:rPr>
              <w:t>-157.4 (0.002)</w:t>
            </w:r>
          </w:p>
        </w:tc>
        <w:tc>
          <w:tcPr>
            <w:tcW w:type="dxa" w:w="1040"/>
          </w:tcPr>
          <w:p>
            <w:pPr>
              <w:jc w:val="center"/>
            </w:pPr>
            <w:r/>
            <w:r>
              <w:rPr>
                <w:rFonts w:ascii="Times New Roman" w:hAnsi="Times New Roman"/>
                <w:sz w:val="14"/>
              </w:rPr>
              <w:t>-8.1 (0.651)</w:t>
            </w:r>
          </w:p>
        </w:tc>
        <w:tc>
          <w:tcPr>
            <w:tcW w:type="dxa" w:w="1040"/>
          </w:tcPr>
          <w:p>
            <w:pPr>
              <w:jc w:val="center"/>
            </w:pPr>
            <w:r/>
            <w:r>
              <w:rPr>
                <w:rFonts w:ascii="Times New Roman" w:hAnsi="Times New Roman"/>
                <w:sz w:val="14"/>
              </w:rPr>
              <w:t>4.0 (0.212)</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0.968</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7.5 (0.949)</w:t>
            </w:r>
          </w:p>
        </w:tc>
        <w:tc>
          <w:tcPr>
            <w:tcW w:type="dxa" w:w="1040"/>
          </w:tcPr>
          <w:p>
            <w:pPr>
              <w:jc w:val="center"/>
            </w:pPr>
            <w:r/>
            <w:r>
              <w:rPr>
                <w:rFonts w:ascii="Times New Roman" w:hAnsi="Times New Roman"/>
                <w:sz w:val="14"/>
              </w:rPr>
              <w:t>-226.2 (0.299)</w:t>
            </w:r>
          </w:p>
        </w:tc>
        <w:tc>
          <w:tcPr>
            <w:tcW w:type="dxa" w:w="1040"/>
          </w:tcPr>
          <w:p>
            <w:pPr>
              <w:jc w:val="center"/>
            </w:pPr>
            <w:r/>
            <w:r>
              <w:rPr>
                <w:rFonts w:ascii="Times New Roman" w:hAnsi="Times New Roman"/>
                <w:sz w:val="14"/>
              </w:rPr>
              <w:t>233.7 (0.035)</w:t>
            </w:r>
          </w:p>
        </w:tc>
        <w:tc>
          <w:tcPr>
            <w:tcW w:type="dxa" w:w="1040"/>
          </w:tcPr>
          <w:p>
            <w:pPr>
              <w:jc w:val="center"/>
            </w:pPr>
            <w:r/>
            <w:r>
              <w:rPr>
                <w:rFonts w:ascii="Times New Roman" w:hAnsi="Times New Roman"/>
                <w:sz w:val="14"/>
              </w:rPr>
              <w:t>5.3 (0.865)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154.4 (0.001)</w:t>
            </w:r>
          </w:p>
        </w:tc>
        <w:tc>
          <w:tcPr>
            <w:tcW w:type="dxa" w:w="1040"/>
          </w:tcPr>
          <w:p>
            <w:pPr>
              <w:jc w:val="center"/>
            </w:pPr>
            <w:r/>
            <w:r>
              <w:rPr>
                <w:rFonts w:ascii="Times New Roman" w:hAnsi="Times New Roman"/>
                <w:sz w:val="14"/>
              </w:rPr>
              <w:t>24.5 (0.697)</w:t>
            </w:r>
          </w:p>
        </w:tc>
        <w:tc>
          <w:tcPr>
            <w:tcW w:type="dxa" w:w="1040"/>
          </w:tcPr>
          <w:p>
            <w:pPr>
              <w:jc w:val="center"/>
            </w:pPr>
            <w:r/>
            <w:r>
              <w:rPr>
                <w:rFonts w:ascii="Times New Roman" w:hAnsi="Times New Roman"/>
                <w:sz w:val="14"/>
              </w:rPr>
              <w:t>129.9 (0.008)</w:t>
            </w:r>
          </w:p>
        </w:tc>
        <w:tc>
          <w:tcPr>
            <w:tcW w:type="dxa" w:w="1040"/>
          </w:tcPr>
          <w:p>
            <w:pPr>
              <w:jc w:val="center"/>
            </w:pPr>
            <w:r/>
            <w:r>
              <w:rPr>
                <w:rFonts w:ascii="Times New Roman" w:hAnsi="Times New Roman"/>
                <w:sz w:val="14"/>
              </w:rPr>
              <w:t>8.5 (0.508)</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23.3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-0.0 (0.810)</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4.4 (0.681)</w:t>
            </w:r>
          </w:p>
        </w:tc>
        <w:tc>
          <w:tcPr>
            <w:tcW w:type="dxa" w:w="1040"/>
          </w:tcPr>
          <w:p>
            <w:pPr>
              <w:jc w:val="center"/>
            </w:pPr>
            <w:r/>
            <w:r>
              <w:rPr>
                <w:rFonts w:ascii="Times New Roman" w:hAnsi="Times New Roman"/>
                <w:sz w:val="14"/>
              </w:rPr>
              <w:t>7.7 (0.113)</w:t>
            </w:r>
          </w:p>
        </w:tc>
        <w:tc>
          <w:tcPr>
            <w:tcW w:type="dxa" w:w="1040"/>
          </w:tcPr>
          <w:p>
            <w:pPr>
              <w:jc w:val="center"/>
            </w:pPr>
            <w:r/>
            <w:r>
              <w:rPr>
                <w:rFonts w:ascii="Times New Roman" w:hAnsi="Times New Roman"/>
                <w:sz w:val="14"/>
              </w:rPr>
              <w:t>2.7 (0.329)</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-87.5 (0.000)</w:t>
            </w:r>
          </w:p>
        </w:tc>
        <w:tc>
          <w:tcPr>
            <w:tcW w:type="dxa" w:w="1040"/>
          </w:tcPr>
          <w:p>
            <w:pPr>
              <w:jc w:val="center"/>
            </w:pPr>
            <w:r/>
            <w:r>
              <w:rPr>
                <w:rFonts w:ascii="Times New Roman" w:hAnsi="Times New Roman"/>
                <w:sz w:val="14"/>
              </w:rPr>
              <w:t>-9.3 (0.173)</w:t>
            </w:r>
          </w:p>
        </w:tc>
        <w:tc>
          <w:tcPr>
            <w:tcW w:type="dxa" w:w="1040"/>
          </w:tcPr>
          <w:p>
            <w:pPr>
              <w:jc w:val="center"/>
            </w:pPr>
            <w:r/>
            <w:r>
              <w:rPr>
                <w:rFonts w:ascii="Times New Roman" w:hAnsi="Times New Roman"/>
                <w:sz w:val="14"/>
              </w:rPr>
              <w:t>13.8 (0.002)</w:t>
            </w:r>
          </w:p>
        </w:tc>
        <w:tc>
          <w:tcPr>
            <w:tcW w:type="dxa" w:w="1040"/>
          </w:tcPr>
          <w:p>
            <w:pPr>
              <w:jc w:val="center"/>
            </w:pPr>
            <w:r/>
            <w:r>
              <w:rPr>
                <w:rFonts w:ascii="Times New Roman" w:hAnsi="Times New Roman"/>
                <w:sz w:val="14"/>
              </w:rPr>
              <w:t>4.1 (0.039)</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0.958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6.6 (0.344)</w:t>
            </w:r>
          </w:p>
        </w:tc>
        <w:tc>
          <w:tcPr>
            <w:tcW w:type="dxa" w:w="1040"/>
          </w:tcPr>
          <w:p>
            <w:pPr>
              <w:jc w:val="center"/>
            </w:pPr>
            <w:r/>
            <w:r>
              <w:rPr>
                <w:rFonts w:ascii="Times New Roman" w:hAnsi="Times New Roman"/>
                <w:sz w:val="14"/>
              </w:rPr>
              <w:t>36.0 (0.041)</w:t>
            </w:r>
          </w:p>
        </w:tc>
        <w:tc>
          <w:tcPr>
            <w:tcW w:type="dxa" w:w="1040"/>
          </w:tcPr>
          <w:p>
            <w:pPr>
              <w:jc w:val="center"/>
            </w:pPr>
            <w:r/>
            <w:r>
              <w:rPr>
                <w:rFonts w:ascii="Times New Roman" w:hAnsi="Times New Roman"/>
                <w:sz w:val="14"/>
              </w:rPr>
              <w:t>-29.5 (0.008)</w:t>
            </w:r>
          </w:p>
        </w:tc>
        <w:tc>
          <w:tcPr>
            <w:tcW w:type="dxa" w:w="1040"/>
          </w:tcPr>
          <w:p>
            <w:pPr>
              <w:jc w:val="center"/>
            </w:pPr>
            <w:r/>
            <w:r>
              <w:rPr>
                <w:rFonts w:ascii="Times New Roman" w:hAnsi="Times New Roman"/>
                <w:sz w:val="14"/>
              </w:rPr>
              <w:t>-1.9 (0.405)</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-75.3 (0.000)</w:t>
            </w:r>
          </w:p>
        </w:tc>
        <w:tc>
          <w:tcPr>
            <w:tcW w:type="dxa" w:w="1040"/>
          </w:tcPr>
          <w:p>
            <w:pPr>
              <w:jc w:val="center"/>
            </w:pPr>
            <w:r/>
            <w:r>
              <w:rPr>
                <w:rFonts w:ascii="Times New Roman" w:hAnsi="Times New Roman"/>
                <w:sz w:val="14"/>
              </w:rPr>
              <w:t>-57.9 (0.001)</w:t>
            </w:r>
          </w:p>
        </w:tc>
        <w:tc>
          <w:tcPr>
            <w:tcW w:type="dxa" w:w="1040"/>
          </w:tcPr>
          <w:p>
            <w:pPr>
              <w:jc w:val="center"/>
            </w:pPr>
            <w:r/>
            <w:r>
              <w:rPr>
                <w:rFonts w:ascii="Times New Roman" w:hAnsi="Times New Roman"/>
                <w:sz w:val="14"/>
              </w:rPr>
              <w:t>-17.4 (0.014)</w:t>
            </w:r>
          </w:p>
        </w:tc>
        <w:tc>
          <w:tcPr>
            <w:tcW w:type="dxa" w:w="1040"/>
          </w:tcPr>
          <w:p>
            <w:pPr>
              <w:jc w:val="center"/>
            </w:pPr>
            <w:r/>
            <w:r>
              <w:rPr>
                <w:rFonts w:ascii="Times New Roman" w:hAnsi="Times New Roman"/>
                <w:sz w:val="14"/>
              </w:rPr>
              <w:t>1.7 (0.269)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76.8 (0.000)</w:t>
            </w:r>
          </w:p>
        </w:tc>
        <w:tc>
          <w:tcPr>
            <w:tcW w:type="dxa" w:w="1040"/>
          </w:tcPr>
          <w:p>
            <w:pPr>
              <w:jc w:val="center"/>
            </w:pPr>
            <w:r/>
            <w:r>
              <w:rPr>
                <w:rFonts w:ascii="Times New Roman" w:hAnsi="Times New Roman"/>
                <w:sz w:val="14"/>
              </w:rPr>
              <w:t>10.3 (0.454)</w:t>
            </w:r>
          </w:p>
        </w:tc>
        <w:tc>
          <w:tcPr>
            <w:tcW w:type="dxa" w:w="1040"/>
          </w:tcPr>
          <w:p>
            <w:pPr>
              <w:jc w:val="center"/>
            </w:pPr>
            <w:r/>
            <w:r>
              <w:rPr>
                <w:rFonts w:ascii="Times New Roman" w:hAnsi="Times New Roman"/>
                <w:sz w:val="14"/>
              </w:rPr>
              <w:t>-16.9 (0.048)</w:t>
            </w:r>
          </w:p>
        </w:tc>
        <w:tc>
          <w:tcPr>
            <w:tcW w:type="dxa" w:w="1040"/>
          </w:tcPr>
          <w:p>
            <w:pPr>
              <w:jc w:val="center"/>
            </w:pPr>
            <w:r/>
            <w:r>
              <w:rPr>
                <w:rFonts w:ascii="Times New Roman" w:hAnsi="Times New Roman"/>
                <w:sz w:val="14"/>
              </w:rPr>
              <w:t>-0.2 (0.824)</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-7.4 (0.003)</w:t>
            </w:r>
          </w:p>
        </w:tc>
        <w:tc>
          <w:tcPr>
            <w:tcW w:type="dxa" w:w="1040"/>
          </w:tcPr>
          <w:p>
            <w:pPr>
              <w:jc w:val="center"/>
            </w:pPr>
            <w:r/>
            <w:r>
              <w:rPr>
                <w:rFonts w:ascii="Times New Roman" w:hAnsi="Times New Roman"/>
                <w:sz w:val="14"/>
              </w:rPr>
              <w:t>1.5 (0.615)</w:t>
            </w:r>
          </w:p>
        </w:tc>
        <w:tc>
          <w:tcPr>
            <w:tcW w:type="dxa" w:w="1040"/>
          </w:tcPr>
          <w:p>
            <w:pPr>
              <w:jc w:val="center"/>
            </w:pPr>
            <w:r/>
            <w:r>
              <w:rPr>
                <w:rFonts w:ascii="Times New Roman" w:hAnsi="Times New Roman"/>
                <w:sz w:val="14"/>
              </w:rPr>
              <w:t>4.2 (0.032)</w:t>
            </w:r>
          </w:p>
        </w:tc>
        <w:tc>
          <w:tcPr>
            <w:tcW w:type="dxa" w:w="1040"/>
          </w:tcPr>
          <w:p>
            <w:pPr>
              <w:jc w:val="center"/>
            </w:pPr>
            <w:r/>
            <w:r>
              <w:rPr>
                <w:rFonts w:ascii="Times New Roman" w:hAnsi="Times New Roman"/>
                <w:sz w:val="14"/>
              </w:rPr>
              <w:t>-0.0 (0.934)</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119.8 (0.000)</w:t>
            </w:r>
          </w:p>
        </w:tc>
        <w:tc>
          <w:tcPr>
            <w:tcW w:type="dxa" w:w="1040"/>
          </w:tcPr>
          <w:p>
            <w:pPr>
              <w:jc w:val="center"/>
            </w:pPr>
            <w:r/>
            <w:r>
              <w:rPr>
                <w:rFonts w:ascii="Times New Roman" w:hAnsi="Times New Roman"/>
                <w:sz w:val="14"/>
              </w:rPr>
              <w:t>-16.3 (0.106)</w:t>
            </w:r>
          </w:p>
        </w:tc>
        <w:tc>
          <w:tcPr>
            <w:tcW w:type="dxa" w:w="1040"/>
          </w:tcPr>
          <w:p>
            <w:pPr>
              <w:jc w:val="center"/>
            </w:pPr>
            <w:r/>
            <w:r>
              <w:rPr>
                <w:rFonts w:ascii="Times New Roman" w:hAnsi="Times New Roman"/>
                <w:sz w:val="14"/>
              </w:rPr>
              <w:t>2.0 (0.628)</w:t>
            </w:r>
          </w:p>
        </w:tc>
        <w:tc>
          <w:tcPr>
            <w:tcW w:type="dxa" w:w="1040"/>
          </w:tcPr>
          <w:p>
            <w:pPr>
              <w:jc w:val="center"/>
            </w:pPr>
            <w:r/>
            <w:r>
              <w:rPr>
                <w:rFonts w:ascii="Times New Roman" w:hAnsi="Times New Roman"/>
                <w:sz w:val="14"/>
              </w:rPr>
              <w:t>-0.0 (0.987)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(0.876)</w:t>
            </w:r>
          </w:p>
        </w:tc>
        <w:tc>
          <w:tcPr>
            <w:tcW w:type="dxa" w:w="1040"/>
          </w:tcPr>
          <w:p>
            <w:pPr>
              <w:jc w:val="center"/>
            </w:pPr>
            <w:r/>
            <w:r>
              <w:rPr>
                <w:rFonts w:ascii="Times New Roman" w:hAnsi="Times New Roman"/>
                <w:sz w:val="14"/>
              </w:rPr>
              <w:t>0.0 (1.000)</w:t>
            </w:r>
          </w:p>
        </w:tc>
        <w:tc>
          <w:tcPr>
            <w:tcW w:type="dxa" w:w="1040"/>
          </w:tcPr>
          <w:p>
            <w:pPr>
              <w:jc w:val="center"/>
            </w:pPr>
            <w:r/>
            <w:r>
              <w:rPr>
                <w:rFonts w:ascii="Times New Roman" w:hAnsi="Times New Roman"/>
                <w:sz w:val="14"/>
              </w:rPr>
              <w:t>0.0 (0.432)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195.2 (0.000)</w:t>
            </w:r>
          </w:p>
        </w:tc>
        <w:tc>
          <w:tcPr>
            <w:tcW w:type="dxa" w:w="1040"/>
          </w:tcPr>
          <w:p>
            <w:pPr>
              <w:jc w:val="center"/>
            </w:pPr>
            <w:r/>
            <w:r>
              <w:rPr>
                <w:rFonts w:ascii="Times New Roman" w:hAnsi="Times New Roman"/>
                <w:sz w:val="14"/>
              </w:rPr>
              <w:t>-37.2 (0.070)</w:t>
            </w:r>
          </w:p>
        </w:tc>
        <w:tc>
          <w:tcPr>
            <w:tcW w:type="dxa" w:w="1040"/>
          </w:tcPr>
          <w:p>
            <w:pPr>
              <w:jc w:val="center"/>
            </w:pPr>
            <w:r/>
            <w:r>
              <w:rPr>
                <w:rFonts w:ascii="Times New Roman" w:hAnsi="Times New Roman"/>
                <w:sz w:val="14"/>
              </w:rPr>
              <w:t>-7.6 (0.226)</w:t>
            </w:r>
          </w:p>
        </w:tc>
        <w:tc>
          <w:tcPr>
            <w:tcW w:type="dxa" w:w="1040"/>
          </w:tcPr>
          <w:p>
            <w:pPr>
              <w:jc w:val="center"/>
            </w:pPr>
            <w:r/>
            <w:r>
              <w:rPr>
                <w:rFonts w:ascii="Times New Roman" w:hAnsi="Times New Roman"/>
                <w:sz w:val="14"/>
              </w:rPr>
              <w:t>6.0 (0.374)</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68.9 (0.000)</w:t>
            </w:r>
          </w:p>
        </w:tc>
        <w:tc>
          <w:tcPr>
            <w:tcW w:type="dxa" w:w="1040"/>
          </w:tcPr>
          <w:p>
            <w:pPr>
              <w:jc w:val="center"/>
            </w:pPr>
            <w:r/>
            <w:r>
              <w:rPr>
                <w:rFonts w:ascii="Times New Roman" w:hAnsi="Times New Roman"/>
                <w:sz w:val="14"/>
              </w:rPr>
              <w:t>-0.6 (0.837)</w:t>
            </w:r>
          </w:p>
        </w:tc>
        <w:tc>
          <w:tcPr>
            <w:tcW w:type="dxa" w:w="1040"/>
          </w:tcPr>
          <w:p>
            <w:pPr>
              <w:jc w:val="center"/>
            </w:pPr>
            <w:r/>
            <w:r>
              <w:rPr>
                <w:rFonts w:ascii="Times New Roman" w:hAnsi="Times New Roman"/>
                <w:sz w:val="14"/>
              </w:rPr>
              <w:t>8.7 (0.000)</w:t>
            </w:r>
          </w:p>
        </w:tc>
        <w:tc>
          <w:tcPr>
            <w:tcW w:type="dxa" w:w="1040"/>
          </w:tcPr>
          <w:p>
            <w:pPr>
              <w:jc w:val="center"/>
            </w:pPr>
            <w:r/>
            <w:r>
              <w:rPr>
                <w:rFonts w:ascii="Times New Roman" w:hAnsi="Times New Roman"/>
                <w:sz w:val="14"/>
              </w:rPr>
              <w:t>0.9 (0.452)</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402.0 (0.000)</w:t>
            </w:r>
          </w:p>
        </w:tc>
        <w:tc>
          <w:tcPr>
            <w:tcW w:type="dxa" w:w="1040"/>
          </w:tcPr>
          <w:p>
            <w:pPr>
              <w:jc w:val="center"/>
            </w:pPr>
            <w:r/>
            <w:r>
              <w:rPr>
                <w:rFonts w:ascii="Times New Roman" w:hAnsi="Times New Roman"/>
                <w:sz w:val="14"/>
              </w:rPr>
              <w:t>-111.4 (0.153)</w:t>
            </w:r>
          </w:p>
        </w:tc>
        <w:tc>
          <w:tcPr>
            <w:tcW w:type="dxa" w:w="1040"/>
          </w:tcPr>
          <w:p>
            <w:pPr>
              <w:jc w:val="center"/>
            </w:pPr>
            <w:r/>
            <w:r>
              <w:rPr>
                <w:rFonts w:ascii="Times New Roman" w:hAnsi="Times New Roman"/>
                <w:sz w:val="14"/>
              </w:rPr>
              <w:t>-47.2 (0.302)</w:t>
            </w:r>
          </w:p>
        </w:tc>
        <w:tc>
          <w:tcPr>
            <w:tcW w:type="dxa" w:w="1040"/>
          </w:tcPr>
          <w:p>
            <w:pPr>
              <w:jc w:val="center"/>
            </w:pPr>
            <w:r/>
            <w:r>
              <w:rPr>
                <w:rFonts w:ascii="Times New Roman" w:hAnsi="Times New Roman"/>
                <w:sz w:val="14"/>
              </w:rPr>
              <w:t>22.9 (0.848)</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-291.6 (0.000)</w:t>
            </w:r>
          </w:p>
        </w:tc>
        <w:tc>
          <w:tcPr>
            <w:tcW w:type="dxa" w:w="1040"/>
          </w:tcPr>
          <w:p>
            <w:pPr>
              <w:jc w:val="center"/>
            </w:pPr>
            <w:r/>
            <w:r>
              <w:rPr>
                <w:rFonts w:ascii="Times New Roman" w:hAnsi="Times New Roman"/>
                <w:sz w:val="14"/>
              </w:rPr>
              <w:t>188.5 (0.040)</w:t>
            </w:r>
          </w:p>
        </w:tc>
        <w:tc>
          <w:tcPr>
            <w:tcW w:type="dxa" w:w="1040"/>
          </w:tcPr>
          <w:p>
            <w:pPr>
              <w:jc w:val="center"/>
            </w:pPr>
            <w:r/>
            <w:r>
              <w:rPr>
                <w:rFonts w:ascii="Times New Roman" w:hAnsi="Times New Roman"/>
                <w:sz w:val="14"/>
              </w:rPr>
              <w:t>79.0 (0.117)</w:t>
            </w:r>
          </w:p>
        </w:tc>
        <w:tc>
          <w:tcPr>
            <w:tcW w:type="dxa" w:w="1040"/>
          </w:tcPr>
          <w:p>
            <w:pPr>
              <w:jc w:val="center"/>
            </w:pPr>
            <w:r/>
            <w:r>
              <w:rPr>
                <w:rFonts w:ascii="Times New Roman" w:hAnsi="Times New Roman"/>
                <w:sz w:val="14"/>
              </w:rPr>
              <w:t>-191.3 (0.162)</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-247.1 (0.000)</w:t>
            </w:r>
          </w:p>
        </w:tc>
        <w:tc>
          <w:tcPr>
            <w:tcW w:type="dxa" w:w="1040"/>
          </w:tcPr>
          <w:p>
            <w:pPr>
              <w:jc w:val="center"/>
            </w:pPr>
            <w:r/>
            <w:r>
              <w:rPr>
                <w:rFonts w:ascii="Times New Roman" w:hAnsi="Times New Roman"/>
                <w:sz w:val="14"/>
              </w:rPr>
              <w:t>-257.5 (0.000)</w:t>
            </w:r>
          </w:p>
        </w:tc>
        <w:tc>
          <w:tcPr>
            <w:tcW w:type="dxa" w:w="1040"/>
          </w:tcPr>
          <w:p>
            <w:pPr>
              <w:jc w:val="center"/>
            </w:pPr>
            <w:r/>
            <w:r>
              <w:rPr>
                <w:rFonts w:ascii="Times New Roman" w:hAnsi="Times New Roman"/>
                <w:sz w:val="14"/>
              </w:rPr>
              <w:t>10.5 (0.537)</w:t>
            </w:r>
          </w:p>
        </w:tc>
        <w:tc>
          <w:tcPr>
            <w:tcW w:type="dxa" w:w="1040"/>
          </w:tcPr>
          <w:p>
            <w:pPr>
              <w:jc w:val="center"/>
            </w:pPr>
            <w:r/>
            <w:r>
              <w:rPr>
                <w:rFonts w:ascii="Times New Roman" w:hAnsi="Times New Roman"/>
                <w:sz w:val="14"/>
              </w:rPr>
              <w:t>182.6 (0.037)</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-309.2 (0.000)</w:t>
            </w:r>
          </w:p>
        </w:tc>
        <w:tc>
          <w:tcPr>
            <w:tcW w:type="dxa" w:w="1040"/>
          </w:tcPr>
          <w:p>
            <w:pPr>
              <w:jc w:val="center"/>
            </w:pPr>
            <w:r/>
            <w:r>
              <w:rPr>
                <w:rFonts w:ascii="Times New Roman" w:hAnsi="Times New Roman"/>
                <w:sz w:val="14"/>
              </w:rPr>
              <w:t>-285.5 (0.001)</w:t>
            </w:r>
          </w:p>
        </w:tc>
        <w:tc>
          <w:tcPr>
            <w:tcW w:type="dxa" w:w="1040"/>
          </w:tcPr>
          <w:p>
            <w:pPr>
              <w:jc w:val="center"/>
            </w:pPr>
            <w:r/>
            <w:r>
              <w:rPr>
                <w:rFonts w:ascii="Times New Roman" w:hAnsi="Times New Roman"/>
                <w:sz w:val="14"/>
              </w:rPr>
              <w:t>-23.7 (0.345)</w:t>
            </w:r>
          </w:p>
        </w:tc>
        <w:tc>
          <w:tcPr>
            <w:tcW w:type="dxa" w:w="1040"/>
          </w:tcPr>
          <w:p>
            <w:pPr>
              <w:jc w:val="center"/>
            </w:pPr>
            <w:r/>
            <w:r>
              <w:rPr>
                <w:rFonts w:ascii="Times New Roman" w:hAnsi="Times New Roman"/>
                <w:sz w:val="14"/>
              </w:rPr>
              <w:t>250.6 (0.043)</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187.2 (0.000)</w:t>
            </w:r>
          </w:p>
        </w:tc>
        <w:tc>
          <w:tcPr>
            <w:tcW w:type="dxa" w:w="1040"/>
          </w:tcPr>
          <w:p>
            <w:pPr>
              <w:jc w:val="center"/>
            </w:pPr>
            <w:r/>
            <w:r>
              <w:rPr>
                <w:rFonts w:ascii="Times New Roman" w:hAnsi="Times New Roman"/>
                <w:sz w:val="14"/>
              </w:rPr>
              <w:t>-34.3 (0.404)</w:t>
            </w:r>
          </w:p>
        </w:tc>
        <w:tc>
          <w:tcPr>
            <w:tcW w:type="dxa" w:w="1040"/>
          </w:tcPr>
          <w:p>
            <w:pPr>
              <w:jc w:val="center"/>
            </w:pPr>
            <w:r/>
            <w:r>
              <w:rPr>
                <w:rFonts w:ascii="Times New Roman" w:hAnsi="Times New Roman"/>
                <w:sz w:val="14"/>
              </w:rPr>
              <w:t>15.6 (0.411)</w:t>
            </w:r>
          </w:p>
        </w:tc>
        <w:tc>
          <w:tcPr>
            <w:tcW w:type="dxa" w:w="1040"/>
          </w:tcPr>
          <w:p>
            <w:pPr>
              <w:jc w:val="center"/>
            </w:pPr>
            <w:r/>
            <w:r>
              <w:rPr>
                <w:rFonts w:ascii="Times New Roman" w:hAnsi="Times New Roman"/>
                <w:sz w:val="14"/>
              </w:rPr>
              <w:t>63.0 (0.336)</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-39.4 (0.000)</w:t>
            </w:r>
          </w:p>
        </w:tc>
        <w:tc>
          <w:tcPr>
            <w:tcW w:type="dxa" w:w="1040"/>
          </w:tcPr>
          <w:p>
            <w:pPr>
              <w:jc w:val="center"/>
            </w:pPr>
            <w:r/>
            <w:r>
              <w:rPr>
                <w:rFonts w:ascii="Times New Roman" w:hAnsi="Times New Roman"/>
                <w:sz w:val="14"/>
              </w:rPr>
              <w:t>28.2 (0.004)</w:t>
            </w:r>
          </w:p>
        </w:tc>
        <w:tc>
          <w:tcPr>
            <w:tcW w:type="dxa" w:w="1040"/>
          </w:tcPr>
          <w:p>
            <w:pPr>
              <w:jc w:val="center"/>
            </w:pPr>
            <w:r/>
            <w:r>
              <w:rPr>
                <w:rFonts w:ascii="Times New Roman" w:hAnsi="Times New Roman"/>
                <w:sz w:val="14"/>
              </w:rPr>
              <w:t>14.0 (0.003)</w:t>
            </w:r>
          </w:p>
        </w:tc>
        <w:tc>
          <w:tcPr>
            <w:tcW w:type="dxa" w:w="1040"/>
          </w:tcPr>
          <w:p>
            <w:pPr>
              <w:jc w:val="center"/>
            </w:pPr>
            <w:r/>
            <w:r>
              <w:rPr>
                <w:rFonts w:ascii="Times New Roman" w:hAnsi="Times New Roman"/>
                <w:sz w:val="14"/>
              </w:rPr>
              <w:t>-23.4 (0.033)</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88.7 (0.000)</w:t>
            </w:r>
          </w:p>
        </w:tc>
        <w:tc>
          <w:tcPr>
            <w:tcW w:type="dxa" w:w="1040"/>
          </w:tcPr>
          <w:p>
            <w:pPr>
              <w:jc w:val="center"/>
            </w:pPr>
            <w:r/>
            <w:r>
              <w:rPr>
                <w:rFonts w:ascii="Times New Roman" w:hAnsi="Times New Roman"/>
                <w:sz w:val="14"/>
              </w:rPr>
              <w:t>-52.7 (0.081)</w:t>
            </w:r>
          </w:p>
        </w:tc>
        <w:tc>
          <w:tcPr>
            <w:tcW w:type="dxa" w:w="1040"/>
          </w:tcPr>
          <w:p>
            <w:pPr>
              <w:jc w:val="center"/>
            </w:pPr>
            <w:r/>
            <w:r>
              <w:rPr>
                <w:rFonts w:ascii="Times New Roman" w:hAnsi="Times New Roman"/>
                <w:sz w:val="14"/>
              </w:rPr>
              <w:t>3.2 (0.668)</w:t>
            </w:r>
          </w:p>
        </w:tc>
        <w:tc>
          <w:tcPr>
            <w:tcW w:type="dxa" w:w="1040"/>
          </w:tcPr>
          <w:p>
            <w:pPr>
              <w:jc w:val="center"/>
            </w:pPr>
            <w:r/>
            <w:r>
              <w:rPr>
                <w:rFonts w:ascii="Times New Roman" w:hAnsi="Times New Roman"/>
                <w:sz w:val="14"/>
              </w:rPr>
              <w:t>33.9 (0.191)</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82.7 (0.000)</w:t>
            </w:r>
          </w:p>
        </w:tc>
        <w:tc>
          <w:tcPr>
            <w:tcW w:type="dxa" w:w="1040"/>
          </w:tcPr>
          <w:p>
            <w:pPr>
              <w:jc w:val="center"/>
            </w:pPr>
            <w:r/>
            <w:r>
              <w:rPr>
                <w:rFonts w:ascii="Times New Roman" w:hAnsi="Times New Roman"/>
                <w:sz w:val="14"/>
              </w:rPr>
              <w:t>-8.4 (0.380)</w:t>
            </w:r>
          </w:p>
        </w:tc>
        <w:tc>
          <w:tcPr>
            <w:tcW w:type="dxa" w:w="1040"/>
          </w:tcPr>
          <w:p>
            <w:pPr>
              <w:jc w:val="center"/>
            </w:pPr>
            <w:r/>
            <w:r>
              <w:rPr>
                <w:rFonts w:ascii="Times New Roman" w:hAnsi="Times New Roman"/>
                <w:sz w:val="14"/>
              </w:rPr>
              <w:t>11.8 (0.010)</w:t>
            </w:r>
          </w:p>
        </w:tc>
        <w:tc>
          <w:tcPr>
            <w:tcW w:type="dxa" w:w="1040"/>
          </w:tcPr>
          <w:p>
            <w:pPr>
              <w:jc w:val="center"/>
            </w:pPr>
            <w:r/>
            <w:r>
              <w:rPr>
                <w:rFonts w:ascii="Times New Roman" w:hAnsi="Times New Roman"/>
                <w:sz w:val="14"/>
              </w:rPr>
              <w:t>10.2 (0.275)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92.6 (0.348)</w:t>
            </w:r>
          </w:p>
        </w:tc>
        <w:tc>
          <w:tcPr>
            <w:tcW w:type="dxa" w:w="1040"/>
          </w:tcPr>
          <w:p>
            <w:pPr>
              <w:jc w:val="center"/>
            </w:pPr>
            <w:r/>
            <w:r>
              <w:rPr>
                <w:rFonts w:ascii="Times New Roman" w:hAnsi="Times New Roman"/>
                <w:sz w:val="14"/>
              </w:rPr>
              <w:t>43.1 (0.726)</w:t>
            </w:r>
          </w:p>
        </w:tc>
        <w:tc>
          <w:tcPr>
            <w:tcW w:type="dxa" w:w="1040"/>
          </w:tcPr>
          <w:p>
            <w:pPr>
              <w:jc w:val="center"/>
            </w:pPr>
            <w:r/>
            <w:r>
              <w:rPr>
                <w:rFonts w:ascii="Times New Roman" w:hAnsi="Times New Roman"/>
                <w:sz w:val="14"/>
              </w:rPr>
              <w:t>31.2 (0.783)</w:t>
            </w:r>
          </w:p>
        </w:tc>
        <w:tc>
          <w:tcPr>
            <w:tcW w:type="dxa" w:w="1040"/>
          </w:tcPr>
          <w:p>
            <w:pPr>
              <w:jc w:val="center"/>
            </w:pPr>
            <w:r/>
            <w:r>
              <w:rPr>
                <w:rFonts w:ascii="Times New Roman" w:hAnsi="Times New Roman"/>
                <w:sz w:val="14"/>
              </w:rPr>
              <w:t>319.1 (0.213)</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-105.6 (0.006)</w:t>
            </w:r>
          </w:p>
        </w:tc>
        <w:tc>
          <w:tcPr>
            <w:tcW w:type="dxa" w:w="1040"/>
          </w:tcPr>
          <w:p>
            <w:pPr>
              <w:jc w:val="center"/>
            </w:pPr>
            <w:r/>
            <w:r>
              <w:rPr>
                <w:rFonts w:ascii="Times New Roman" w:hAnsi="Times New Roman"/>
                <w:sz w:val="14"/>
              </w:rPr>
              <w:t>14.3 (0.610)</w:t>
            </w:r>
          </w:p>
        </w:tc>
        <w:tc>
          <w:tcPr>
            <w:tcW w:type="dxa" w:w="1040"/>
          </w:tcPr>
          <w:p>
            <w:pPr>
              <w:jc w:val="center"/>
            </w:pPr>
            <w:r/>
            <w:r>
              <w:rPr>
                <w:rFonts w:ascii="Times New Roman" w:hAnsi="Times New Roman"/>
                <w:sz w:val="14"/>
              </w:rPr>
              <w:t>53.6 (0.089)</w:t>
            </w:r>
          </w:p>
        </w:tc>
        <w:tc>
          <w:tcPr>
            <w:tcW w:type="dxa" w:w="1040"/>
          </w:tcPr>
          <w:p>
            <w:pPr>
              <w:jc w:val="center"/>
            </w:pPr>
            <w:r/>
            <w:r>
              <w:rPr>
                <w:rFonts w:ascii="Times New Roman" w:hAnsi="Times New Roman"/>
                <w:sz w:val="14"/>
              </w:rPr>
              <w:t>71.5 (0.216)</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98.7 (0.046)</w:t>
            </w:r>
          </w:p>
        </w:tc>
        <w:tc>
          <w:tcPr>
            <w:tcW w:type="dxa" w:w="1040"/>
          </w:tcPr>
          <w:p>
            <w:pPr>
              <w:jc w:val="center"/>
            </w:pPr>
            <w:r/>
            <w:r>
              <w:rPr>
                <w:rFonts w:ascii="Times New Roman" w:hAnsi="Times New Roman"/>
                <w:sz w:val="14"/>
              </w:rPr>
              <w:t>-36.7 (0.730)</w:t>
            </w:r>
          </w:p>
        </w:tc>
        <w:tc>
          <w:tcPr>
            <w:tcW w:type="dxa" w:w="1040"/>
          </w:tcPr>
          <w:p>
            <w:pPr>
              <w:jc w:val="center"/>
            </w:pPr>
            <w:r/>
            <w:r>
              <w:rPr>
                <w:rFonts w:ascii="Times New Roman" w:hAnsi="Times New Roman"/>
                <w:sz w:val="14"/>
              </w:rPr>
              <w:t>135.5 (0.094)</w:t>
            </w:r>
          </w:p>
        </w:tc>
        <w:tc>
          <w:tcPr>
            <w:tcW w:type="dxa" w:w="1040"/>
          </w:tcPr>
          <w:p>
            <w:pPr>
              <w:jc w:val="center"/>
            </w:pPr>
            <w:r/>
            <w:r>
              <w:rPr>
                <w:rFonts w:ascii="Times New Roman" w:hAnsi="Times New Roman"/>
                <w:sz w:val="14"/>
              </w:rPr>
              <w:t>79.9 (0.797)</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-154.7 (0.000)</w:t>
            </w:r>
          </w:p>
        </w:tc>
        <w:tc>
          <w:tcPr>
            <w:tcW w:type="dxa" w:w="1040"/>
          </w:tcPr>
          <w:p>
            <w:pPr>
              <w:jc w:val="center"/>
            </w:pPr>
            <w:r/>
            <w:r>
              <w:rPr>
                <w:rFonts w:ascii="Times New Roman" w:hAnsi="Times New Roman"/>
                <w:sz w:val="14"/>
              </w:rPr>
              <w:t>-130.0 (0.033)</w:t>
            </w:r>
          </w:p>
        </w:tc>
        <w:tc>
          <w:tcPr>
            <w:tcW w:type="dxa" w:w="1040"/>
          </w:tcPr>
          <w:p>
            <w:pPr>
              <w:jc w:val="center"/>
            </w:pPr>
            <w:r/>
            <w:r>
              <w:rPr>
                <w:rFonts w:ascii="Times New Roman" w:hAnsi="Times New Roman"/>
                <w:sz w:val="14"/>
              </w:rPr>
              <w:t>-24.7 (0.434)</w:t>
            </w:r>
          </w:p>
        </w:tc>
        <w:tc>
          <w:tcPr>
            <w:tcW w:type="dxa" w:w="1040"/>
          </w:tcPr>
          <w:p>
            <w:pPr>
              <w:jc w:val="center"/>
            </w:pPr>
            <w:r/>
            <w:r>
              <w:rPr>
                <w:rFonts w:ascii="Times New Roman" w:hAnsi="Times New Roman"/>
                <w:sz w:val="14"/>
              </w:rPr>
              <w:t>4.1 (0.976)</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255.1 (0.000)</w:t>
            </w:r>
          </w:p>
        </w:tc>
        <w:tc>
          <w:tcPr>
            <w:tcW w:type="dxa" w:w="1040"/>
          </w:tcPr>
          <w:p>
            <w:pPr>
              <w:jc w:val="center"/>
            </w:pPr>
            <w:r/>
            <w:r>
              <w:rPr>
                <w:rFonts w:ascii="Times New Roman" w:hAnsi="Times New Roman"/>
                <w:sz w:val="14"/>
              </w:rPr>
              <w:t>83.4 (0.067)</w:t>
            </w:r>
          </w:p>
        </w:tc>
        <w:tc>
          <w:tcPr>
            <w:tcW w:type="dxa" w:w="1040"/>
          </w:tcPr>
          <w:p>
            <w:pPr>
              <w:jc w:val="center"/>
            </w:pPr>
            <w:r/>
            <w:r>
              <w:rPr>
                <w:rFonts w:ascii="Times New Roman" w:hAnsi="Times New Roman"/>
                <w:sz w:val="14"/>
              </w:rPr>
              <w:t>65.2 (0.165)</w:t>
            </w:r>
          </w:p>
        </w:tc>
        <w:tc>
          <w:tcPr>
            <w:tcW w:type="dxa" w:w="1040"/>
          </w:tcPr>
          <w:p>
            <w:pPr>
              <w:jc w:val="center"/>
            </w:pPr>
            <w:r/>
            <w:r>
              <w:rPr>
                <w:rFonts w:ascii="Times New Roman" w:hAnsi="Times New Roman"/>
                <w:sz w:val="14"/>
              </w:rPr>
              <w:t>49.9 (0.485)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35.0 (0.000)</w:t>
            </w:r>
          </w:p>
        </w:tc>
        <w:tc>
          <w:tcPr>
            <w:tcW w:type="dxa" w:w="1040"/>
          </w:tcPr>
          <w:p>
            <w:pPr>
              <w:jc w:val="center"/>
            </w:pPr>
            <w:r/>
            <w:r>
              <w:rPr>
                <w:rFonts w:ascii="Times New Roman" w:hAnsi="Times New Roman"/>
                <w:sz w:val="14"/>
              </w:rPr>
              <w:t>0.0 (0.959)</w:t>
            </w:r>
          </w:p>
        </w:tc>
        <w:tc>
          <w:tcPr>
            <w:tcW w:type="dxa" w:w="1040"/>
          </w:tcPr>
          <w:p>
            <w:pPr>
              <w:jc w:val="center"/>
            </w:pPr>
            <w:r/>
            <w:r>
              <w:rPr>
                <w:rFonts w:ascii="Times New Roman" w:hAnsi="Times New Roman"/>
                <w:sz w:val="14"/>
              </w:rPr>
              <w:t>0.0 (0.806)</w:t>
            </w:r>
          </w:p>
        </w:tc>
        <w:tc>
          <w:tcPr>
            <w:tcW w:type="dxa" w:w="1040"/>
          </w:tcPr>
          <w:p>
            <w:pPr>
              <w:jc w:val="center"/>
            </w:pPr>
            <w:r/>
            <w:r>
              <w:rPr>
                <w:rFonts w:ascii="Times New Roman" w:hAnsi="Times New Roman"/>
                <w:sz w:val="14"/>
              </w:rPr>
              <w:t>-0.0 (0.936)</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10.8 (0.318)</w:t>
            </w:r>
          </w:p>
        </w:tc>
        <w:tc>
          <w:tcPr>
            <w:tcW w:type="dxa" w:w="1040"/>
          </w:tcPr>
          <w:p>
            <w:pPr>
              <w:jc w:val="center"/>
            </w:pPr>
            <w:r/>
            <w:r>
              <w:rPr>
                <w:rFonts w:ascii="Times New Roman" w:hAnsi="Times New Roman"/>
                <w:sz w:val="14"/>
              </w:rPr>
              <w:t>5.6 (0.210)</w:t>
            </w:r>
          </w:p>
        </w:tc>
        <w:tc>
          <w:tcPr>
            <w:tcW w:type="dxa" w:w="1040"/>
          </w:tcPr>
          <w:p>
            <w:pPr>
              <w:jc w:val="center"/>
            </w:pPr>
            <w:r/>
            <w:r>
              <w:rPr>
                <w:rFonts w:ascii="Times New Roman" w:hAnsi="Times New Roman"/>
                <w:sz w:val="14"/>
              </w:rPr>
              <w:t>1.0 (0.933)</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-87.3 (0.000)</w:t>
            </w:r>
          </w:p>
        </w:tc>
        <w:tc>
          <w:tcPr>
            <w:tcW w:type="dxa" w:w="1040"/>
          </w:tcPr>
          <w:p>
            <w:pPr>
              <w:jc w:val="center"/>
            </w:pPr>
            <w:r/>
            <w:r>
              <w:rPr>
                <w:rFonts w:ascii="Times New Roman" w:hAnsi="Times New Roman"/>
                <w:sz w:val="14"/>
              </w:rPr>
              <w:t>-3.1 (0.682)</w:t>
            </w:r>
          </w:p>
        </w:tc>
        <w:tc>
          <w:tcPr>
            <w:tcW w:type="dxa" w:w="1040"/>
          </w:tcPr>
          <w:p>
            <w:pPr>
              <w:jc w:val="center"/>
            </w:pPr>
            <w:r/>
            <w:r>
              <w:rPr>
                <w:rFonts w:ascii="Times New Roman" w:hAnsi="Times New Roman"/>
                <w:sz w:val="14"/>
              </w:rPr>
              <w:t>11.6 (0.014)</w:t>
            </w:r>
          </w:p>
        </w:tc>
        <w:tc>
          <w:tcPr>
            <w:tcW w:type="dxa" w:w="1040"/>
          </w:tcPr>
          <w:p>
            <w:pPr>
              <w:jc w:val="center"/>
            </w:pPr>
            <w:r/>
            <w:r>
              <w:rPr>
                <w:rFonts w:ascii="Times New Roman" w:hAnsi="Times New Roman"/>
                <w:sz w:val="14"/>
              </w:rPr>
              <w:t>6.9 (0.457)</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0.975</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-7.7 (0.048)</w:t>
            </w:r>
          </w:p>
        </w:tc>
        <w:tc>
          <w:tcPr>
            <w:tcW w:type="dxa" w:w="1040"/>
          </w:tcPr>
          <w:p>
            <w:pPr>
              <w:jc w:val="center"/>
            </w:pPr>
            <w:r/>
            <w:r>
              <w:rPr>
                <w:rFonts w:ascii="Times New Roman" w:hAnsi="Times New Roman"/>
                <w:sz w:val="14"/>
              </w:rPr>
              <w:t>-34.1 (0.086)</w:t>
            </w:r>
          </w:p>
        </w:tc>
        <w:tc>
          <w:tcPr>
            <w:tcW w:type="dxa" w:w="1040"/>
          </w:tcPr>
          <w:p>
            <w:pPr>
              <w:jc w:val="center"/>
            </w:pPr>
            <w:r/>
            <w:r>
              <w:rPr>
                <w:rFonts w:ascii="Times New Roman" w:hAnsi="Times New Roman"/>
                <w:sz w:val="14"/>
              </w:rPr>
              <w:t>-19.4 (0.187)</w:t>
            </w:r>
          </w:p>
        </w:tc>
        <w:tc>
          <w:tcPr>
            <w:tcW w:type="dxa" w:w="1040"/>
          </w:tcPr>
          <w:p>
            <w:pPr>
              <w:jc w:val="center"/>
            </w:pPr>
            <w:r/>
            <w:r>
              <w:rPr>
                <w:rFonts w:ascii="Times New Roman" w:hAnsi="Times New Roman"/>
                <w:sz w:val="14"/>
              </w:rPr>
              <w:t>8.9 (0.738)</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-102.0 (0.000)</w:t>
            </w:r>
          </w:p>
        </w:tc>
        <w:tc>
          <w:tcPr>
            <w:tcW w:type="dxa" w:w="1040"/>
          </w:tcPr>
          <w:p>
            <w:pPr>
              <w:jc w:val="center"/>
            </w:pPr>
            <w:r/>
            <w:r>
              <w:rPr>
                <w:rFonts w:ascii="Times New Roman" w:hAnsi="Times New Roman"/>
                <w:sz w:val="14"/>
              </w:rPr>
              <w:t>17.8 (0.109)</w:t>
            </w:r>
          </w:p>
        </w:tc>
        <w:tc>
          <w:tcPr>
            <w:tcW w:type="dxa" w:w="1040"/>
          </w:tcPr>
          <w:p>
            <w:pPr>
              <w:jc w:val="center"/>
            </w:pPr>
            <w:r/>
            <w:r>
              <w:rPr>
                <w:rFonts w:ascii="Times New Roman" w:hAnsi="Times New Roman"/>
                <w:sz w:val="14"/>
              </w:rPr>
              <w:t>14.7 (0.103)</w:t>
            </w:r>
          </w:p>
        </w:tc>
        <w:tc>
          <w:tcPr>
            <w:tcW w:type="dxa" w:w="1040"/>
          </w:tcPr>
          <w:p>
            <w:pPr>
              <w:jc w:val="center"/>
            </w:pPr>
            <w:r/>
            <w:r>
              <w:rPr>
                <w:rFonts w:ascii="Times New Roman" w:hAnsi="Times New Roman"/>
                <w:sz w:val="14"/>
              </w:rPr>
              <w:t>0.6 (0.967)</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71.2 (0.000)</w:t>
            </w:r>
          </w:p>
        </w:tc>
        <w:tc>
          <w:tcPr>
            <w:tcW w:type="dxa" w:w="1040"/>
          </w:tcPr>
          <w:p>
            <w:pPr>
              <w:jc w:val="center"/>
            </w:pPr>
            <w:r/>
            <w:r>
              <w:rPr>
                <w:rFonts w:ascii="Times New Roman" w:hAnsi="Times New Roman"/>
                <w:sz w:val="14"/>
              </w:rPr>
              <w:t>-29.6 (0.188)</w:t>
            </w:r>
          </w:p>
        </w:tc>
        <w:tc>
          <w:tcPr>
            <w:tcW w:type="dxa" w:w="1040"/>
          </w:tcPr>
          <w:p>
            <w:pPr>
              <w:jc w:val="center"/>
            </w:pPr>
            <w:r/>
            <w:r>
              <w:rPr>
                <w:rFonts w:ascii="Times New Roman" w:hAnsi="Times New Roman"/>
                <w:sz w:val="14"/>
              </w:rPr>
              <w:t>-7.8 (0.533)</w:t>
            </w:r>
          </w:p>
        </w:tc>
        <w:tc>
          <w:tcPr>
            <w:tcW w:type="dxa" w:w="1040"/>
          </w:tcPr>
          <w:p>
            <w:pPr>
              <w:jc w:val="center"/>
            </w:pPr>
            <w:r/>
            <w:r>
              <w:rPr>
                <w:rFonts w:ascii="Times New Roman" w:hAnsi="Times New Roman"/>
                <w:sz w:val="14"/>
              </w:rPr>
              <w:t>23.9 (0.679)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-5.1 (0.000)</w:t>
            </w:r>
          </w:p>
        </w:tc>
        <w:tc>
          <w:tcPr>
            <w:tcW w:type="dxa" w:w="1040"/>
          </w:tcPr>
          <w:p>
            <w:pPr>
              <w:jc w:val="center"/>
            </w:pPr>
            <w:r/>
            <w:r>
              <w:rPr>
                <w:rFonts w:ascii="Times New Roman" w:hAnsi="Times New Roman"/>
                <w:sz w:val="14"/>
              </w:rPr>
              <w:t>4.5 (0.009)</w:t>
            </w:r>
          </w:p>
        </w:tc>
        <w:tc>
          <w:tcPr>
            <w:tcW w:type="dxa" w:w="1040"/>
          </w:tcPr>
          <w:p>
            <w:pPr>
              <w:jc w:val="center"/>
            </w:pPr>
            <w:r/>
            <w:r>
              <w:rPr>
                <w:rFonts w:ascii="Times New Roman" w:hAnsi="Times New Roman"/>
                <w:sz w:val="14"/>
              </w:rPr>
              <w:t>2.3 (0.018)</w:t>
            </w:r>
          </w:p>
        </w:tc>
        <w:tc>
          <w:tcPr>
            <w:tcW w:type="dxa" w:w="1040"/>
          </w:tcPr>
          <w:p>
            <w:pPr>
              <w:jc w:val="center"/>
            </w:pPr>
            <w:r/>
            <w:r>
              <w:rPr>
                <w:rFonts w:ascii="Times New Roman" w:hAnsi="Times New Roman"/>
                <w:sz w:val="14"/>
              </w:rPr>
              <w:t>-11.7 (0.013)</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117.0 (0.000)</w:t>
            </w:r>
          </w:p>
        </w:tc>
        <w:tc>
          <w:tcPr>
            <w:tcW w:type="dxa" w:w="1040"/>
          </w:tcPr>
          <w:p>
            <w:pPr>
              <w:jc w:val="center"/>
            </w:pPr>
            <w:r/>
            <w:r>
              <w:rPr>
                <w:rFonts w:ascii="Times New Roman" w:hAnsi="Times New Roman"/>
                <w:sz w:val="14"/>
              </w:rPr>
              <w:t>4.7 (0.679)</w:t>
            </w:r>
          </w:p>
        </w:tc>
        <w:tc>
          <w:tcPr>
            <w:tcW w:type="dxa" w:w="1040"/>
          </w:tcPr>
          <w:p>
            <w:pPr>
              <w:jc w:val="center"/>
            </w:pPr>
            <w:r/>
            <w:r>
              <w:rPr>
                <w:rFonts w:ascii="Times New Roman" w:hAnsi="Times New Roman"/>
                <w:sz w:val="14"/>
              </w:rPr>
              <w:t>8.4 (0.484)</w:t>
            </w:r>
          </w:p>
        </w:tc>
        <w:tc>
          <w:tcPr>
            <w:tcW w:type="dxa" w:w="1040"/>
          </w:tcPr>
          <w:p>
            <w:pPr>
              <w:jc w:val="center"/>
            </w:pPr>
            <w:r/>
            <w:r>
              <w:rPr>
                <w:rFonts w:ascii="Times New Roman" w:hAnsi="Times New Roman"/>
                <w:sz w:val="14"/>
              </w:rPr>
              <w:t>4.0 (0.847)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(0.867)</w:t>
            </w:r>
          </w:p>
        </w:tc>
        <w:tc>
          <w:tcPr>
            <w:tcW w:type="dxa" w:w="1040"/>
          </w:tcPr>
          <w:p>
            <w:pPr>
              <w:jc w:val="center"/>
            </w:pPr>
            <w:r/>
            <w:r>
              <w:rPr>
                <w:rFonts w:ascii="Times New Roman" w:hAnsi="Times New Roman"/>
                <w:sz w:val="14"/>
              </w:rPr>
              <w:t>0.0 (0.586)</w:t>
            </w:r>
          </w:p>
        </w:tc>
        <w:tc>
          <w:tcPr>
            <w:tcW w:type="dxa" w:w="1040"/>
          </w:tcPr>
          <w:p>
            <w:pPr>
              <w:jc w:val="center"/>
            </w:pPr>
            <w:r/>
            <w:r>
              <w:rPr>
                <w:rFonts w:ascii="Times New Roman" w:hAnsi="Times New Roman"/>
                <w:sz w:val="14"/>
              </w:rPr>
              <w:t>0.0 (0.873)</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187.5 (0.000)</w:t>
            </w:r>
          </w:p>
        </w:tc>
        <w:tc>
          <w:tcPr>
            <w:tcW w:type="dxa" w:w="1040"/>
          </w:tcPr>
          <w:p>
            <w:pPr>
              <w:jc w:val="center"/>
            </w:pPr>
            <w:r/>
            <w:r>
              <w:rPr>
                <w:rFonts w:ascii="Times New Roman" w:hAnsi="Times New Roman"/>
                <w:sz w:val="14"/>
              </w:rPr>
              <w:t>-29.4 (0.080)</w:t>
            </w:r>
          </w:p>
        </w:tc>
        <w:tc>
          <w:tcPr>
            <w:tcW w:type="dxa" w:w="1040"/>
          </w:tcPr>
          <w:p>
            <w:pPr>
              <w:jc w:val="center"/>
            </w:pPr>
            <w:r/>
            <w:r>
              <w:rPr>
                <w:rFonts w:ascii="Times New Roman" w:hAnsi="Times New Roman"/>
                <w:sz w:val="14"/>
              </w:rPr>
              <w:t>-1.1 (0.875)</w:t>
            </w:r>
          </w:p>
        </w:tc>
        <w:tc>
          <w:tcPr>
            <w:tcW w:type="dxa" w:w="1040"/>
          </w:tcPr>
          <w:p>
            <w:pPr>
              <w:jc w:val="center"/>
            </w:pPr>
            <w:r/>
            <w:r>
              <w:rPr>
                <w:rFonts w:ascii="Times New Roman" w:hAnsi="Times New Roman"/>
                <w:sz w:val="14"/>
              </w:rPr>
              <w:t>47.5 (0.082)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68.1 (0.000)</w:t>
            </w:r>
          </w:p>
        </w:tc>
        <w:tc>
          <w:tcPr>
            <w:tcW w:type="dxa" w:w="1040"/>
          </w:tcPr>
          <w:p>
            <w:pPr>
              <w:jc w:val="center"/>
            </w:pPr>
            <w:r/>
            <w:r>
              <w:rPr>
                <w:rFonts w:ascii="Times New Roman" w:hAnsi="Times New Roman"/>
                <w:sz w:val="14"/>
              </w:rPr>
              <w:t>1.2 (0.638)</w:t>
            </w:r>
          </w:p>
        </w:tc>
        <w:tc>
          <w:tcPr>
            <w:tcW w:type="dxa" w:w="1040"/>
          </w:tcPr>
          <w:p>
            <w:pPr>
              <w:jc w:val="center"/>
            </w:pPr>
            <w:r/>
            <w:r>
              <w:rPr>
                <w:rFonts w:ascii="Times New Roman" w:hAnsi="Times New Roman"/>
                <w:sz w:val="14"/>
              </w:rPr>
              <w:t>8.5 (0.002)</w:t>
            </w:r>
          </w:p>
        </w:tc>
        <w:tc>
          <w:tcPr>
            <w:tcW w:type="dxa" w:w="1040"/>
          </w:tcPr>
          <w:p>
            <w:pPr>
              <w:jc w:val="center"/>
            </w:pPr>
            <w:r/>
            <w:r>
              <w:rPr>
                <w:rFonts w:ascii="Times New Roman" w:hAnsi="Times New Roman"/>
                <w:sz w:val="14"/>
              </w:rPr>
              <w:t>5.1 (0.253)</w:t>
            </w:r>
          </w:p>
        </w:tc>
      </w:tr>
    </w:tbl>
    <w:p/>
    <w:p>
      <w:r>
        <w:br w:type="page"/>
      </w:r>
    </w:p>
    <w:p>
      <w:pPr>
        <w:pStyle w:val="Heading2"/>
      </w:pPr>
      <w:r>
        <w:rPr>
          <w:rFonts w:ascii="Times New Roman" w:hAnsi="Times New Roman"/>
          <w:color w:val="000000"/>
        </w:rPr>
        <w:t>Supplementary Table S3. Cross-Correlation Coefficients at Optimal Lag for All Specialty-Definition-Outcome Combinations</w:t>
      </w:r>
    </w:p>
    <w:p>
      <w:pPr>
        <w:spacing w:after="240" w:line="480" w:lineRule="auto"/>
      </w:pPr>
      <w:r>
        <w:rPr>
          <w:rFonts w:ascii="Times New Roman" w:hAnsi="Times New Roman"/>
          <w:b w:val="0"/>
          <w:i/>
          <w:sz w:val="24"/>
        </w:rPr>
        <w:t>Pearson correlation coefficients computed after linear detrending of both series. Lag = years by which the incident series is shifted relative to the outcome series; positive lag means incidents precede outcome changes.</w:t>
      </w:r>
    </w:p>
    <w:p>
      <w:pPr>
        <w:spacing w:after="120" w:line="480" w:lineRule="auto"/>
      </w:pPr>
      <w:r>
        <w:rPr>
          <w:rFonts w:ascii="Times New Roman" w:hAnsi="Times New Roman"/>
          <w:b/>
          <w:sz w:val="20"/>
        </w:rPr>
        <w:t>Supplementary Table S3. Cross-correlation coefficients at optimal lag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-0.710</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-0.744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-0.819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-0.719</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-0.790</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-0.844</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-0.675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-0.657</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-0.853</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-0.592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-0.731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-0.808</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-0.565</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-0.440</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-0.507</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-0.880</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-0.522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-0.702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-0.838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-0.633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-0.857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-0.654</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-0.625</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-0.526</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-0.500</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-0.758</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-0.652</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-0.728</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-0.543</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-0.875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-0.590</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-0.848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-0.541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-0.481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-0.879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-0.404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-0.425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-0.806</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-0.801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-0.491</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-0.603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-0.668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-0.548</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-0.297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-0.330</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-0.662</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-0.640</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-0.743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-0.663</w:t>
            </w:r>
          </w:p>
        </w:tc>
      </w:tr>
    </w:tbl>
    <w:p/>
    <w:p>
      <w:r>
        <w:br w:type="page"/>
      </w:r>
    </w:p>
    <w:p>
      <w:pPr>
        <w:pStyle w:val="Heading2"/>
      </w:pPr>
      <w:r>
        <w:rPr>
          <w:rFonts w:ascii="Times New Roman" w:hAnsi="Times New Roman"/>
          <w:color w:val="000000"/>
        </w:rPr>
        <w:t>Supplementary Table S4. AIC-Based Window Period Estimates for All Specialty-Definition-Outcome Combinations</w:t>
      </w:r>
    </w:p>
    <w:p>
      <w:pPr>
        <w:spacing w:after="240" w:line="480" w:lineRule="auto"/>
      </w:pPr>
      <w:r>
        <w:rPr>
          <w:rFonts w:ascii="Times New Roman" w:hAnsi="Times New Roman"/>
          <w:b w:val="0"/>
          <w:i/>
          <w:sz w:val="24"/>
        </w:rPr>
        <w:t>Window period = duration (years) of the binary intervention indicator yielding the lowest AIC in the segmented regression model.</w:t>
      </w:r>
    </w:p>
    <w:p>
      <w:pPr>
        <w:spacing w:after="120" w:line="480" w:lineRule="auto"/>
      </w:pPr>
      <w:r>
        <w:rPr>
          <w:rFonts w:ascii="Times New Roman" w:hAnsi="Times New Roman"/>
          <w:b/>
          <w:sz w:val="20"/>
        </w:rPr>
        <w:t>Supplementary Table S4. AIC-based window period estimates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Definition</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Window period (years)</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9</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bl>
    <w:p/>
    <w:p>
      <w:r>
        <w:br w:type="page"/>
      </w:r>
    </w:p>
    <w:p>
      <w:pPr>
        <w:pStyle w:val="Heading2"/>
      </w:pPr>
      <w:r>
        <w:rPr>
          <w:rFonts w:ascii="Times New Roman" w:hAnsi="Times New Roman"/>
          <w:color w:val="000000"/>
        </w:rPr>
        <w:t>Supplementary Figure S1. Cross-Correlation Function Plots</w:t>
      </w:r>
    </w:p>
    <w:p>
      <w:pPr>
        <w:jc w:val="center"/>
      </w:pPr>
      <w:r>
        <w:drawing>
          <wp:inline xmlns:a="http://schemas.openxmlformats.org/drawingml/2006/main" xmlns:pic="http://schemas.openxmlformats.org/drawingml/2006/picture">
            <wp:extent cx="5943600" cy="6685149"/>
            <wp:docPr id="9" name="Picture 9"/>
            <wp:cNvGraphicFramePr>
              <a:graphicFrameLocks noChangeAspect="1"/>
            </wp:cNvGraphicFramePr>
            <a:graphic>
              <a:graphicData uri="http://schemas.openxmlformats.org/drawingml/2006/picture">
                <pic:pic>
                  <pic:nvPicPr>
                    <pic:cNvPr id="0" name="ccf_plots.png"/>
                    <pic:cNvPicPr/>
                  </pic:nvPicPr>
                  <pic:blipFill>
                    <a:blip r:embed="rId17"/>
                    <a:stretch>
                      <a:fillRect/>
                    </a:stretch>
                  </pic:blipFill>
                  <pic:spPr>
                    <a:xfrm>
                      <a:off x="0" y="0"/>
                      <a:ext cx="5943600" cy="6685149"/>
                    </a:xfrm>
                    <a:prstGeom prst="rect"/>
                  </pic:spPr>
                </pic:pic>
              </a:graphicData>
            </a:graphic>
          </wp:inline>
        </w:drawing>
      </w:r>
    </w:p>
    <w:p>
      <w:pPr>
        <w:spacing w:after="240" w:line="480" w:lineRule="auto"/>
        <w:jc w:val="left"/>
      </w:pPr>
      <w:r>
        <w:rPr>
          <w:rFonts w:ascii="Times New Roman" w:hAnsi="Times New Roman"/>
          <w:i/>
          <w:sz w:val="20"/>
        </w:rPr>
        <w:t>Supplementary Figure S1. Cross-correlation functions between incident counts (JMSR, litigation, and composite) and physician numbers (detrended) at lags −8 to +8 years for the 12 core specialties. Squares indicate the lag with the most negative correlation for each definition. Positive lags indicate that changes in incident counts precede changes in physician numbers.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