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Specialty-level malpractice litigation risk is unrelated to physician or hospital decline in Japan.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Rate-based, measured-only designs remove size confounding and sparse-panel bias.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and power diagnostics support an informative null result.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Perceived risk and real workforce allocation diverge because of structural incentives and status-quo bias.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Structural incentives, not litigation-avoidance messaging, are the more promising policy tool.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