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Table 3.</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Figure 5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documented in the analysis code repository.</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Table 3.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(Figure 6). Over the same period the physician workforce grew in 11 of 12 specialties (Figure 7;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Table 4.</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Table 5).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Table 6). Media coverage does not explain the null litigation effect either. Holm step-down adjusted p-values for the exploratory sensitivity family are reported in Table 7.</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Table 8.</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Table 9; Figure 4 summarises the same information as marginal percentage changes. Litigation reduction is not a high-impact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Table 10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(Table 11).</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Table 8.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spacing w:before="280" w:after="120"/>
      </w:pPr>
      <w:r>
        <w:rPr>
          <w:rFonts w:ascii="Times New Roman" w:hAnsi="Times New Roman"/>
          <w:b/>
          <w:sz w:val="20"/>
        </w:rPr>
        <w:t>Figure 5. Sensitivity-analysis framework for evaluating malpractice-litigation risk as a healthcare workforce-allocation instrument.</w:t>
      </w:r>
    </w:p>
    <w:p/>
    <w:p>
      <w:pPr>
        <w:spacing w:before="280" w:after="120"/>
      </w:pPr>
      <w:r>
        <w:rPr>
          <w:rFonts w:ascii="Times New Roman" w:hAnsi="Times New Roman"/>
          <w:b/>
          <w:sz w:val="20"/>
        </w:rPr>
        <w:t>Figure 6. Closed malpractice claims per 1,000 physicians by specialty, 2008-2024 (rates, not counts).</w:t>
      </w:r>
    </w:p>
    <w:p/>
    <w:p>
      <w:pPr>
        <w:spacing w:before="280" w:after="120"/>
      </w:pPr>
      <w:r>
        <w:rPr>
          <w:rFonts w:ascii="Times New Roman" w:hAnsi="Times New Roman"/>
          <w:b/>
          <w:sz w:val="20"/>
        </w:rPr>
        <w:t>Figure 7. Physician workforce by specialty, indexed to 2008 (=100).</w:t>
      </w:r>
    </w:p>
    <w:p/>
    <w:p>
      <w:pPr>
        <w:spacing w:before="280" w:after="120"/>
      </w:pPr>
      <w:r>
        <w:rPr>
          <w:rFonts w:ascii="Times New Roman" w:hAnsi="Times New Roman"/>
          <w:b/>
          <w:sz w:val="20"/>
        </w:rPr>
        <w:t>Table 3.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Table 4.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Table 5.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Table 6.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Table 7.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Table 8.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Table 9.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Table 10.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Table 11.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