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documented in the analysis code repository.</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(Figure 2). Over the same period the physician workforce grew in 11 of 12 specialties (Figure 3; Table 2);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4; Table 3)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Table 4.</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5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6.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3),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Table 5).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Table 6). Media coverage does not explain the null litigation effect either. Holm step-down adjusted p-values for the exploratory sensitivity family are reported in Table 7.</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Table 8.</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Table 9; Figure 7 summarises the same information as marginal percentage changes. Litigation reduction is not a high-impact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Table 10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(Table 11).</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5).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Table 8.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Figure 1. Sensitivity-analysis framework for evaluating malpractice-litigation risk as a healthcare workforce-allocation instrument.</w:t>
      </w:r>
    </w:p>
    <w:p/>
    <w:p>
      <w:pPr>
        <w:spacing w:before="280" w:after="120"/>
      </w:pPr>
      <w:r>
        <w:rPr>
          <w:rFonts w:ascii="Times New Roman" w:hAnsi="Times New Roman"/>
          <w:b/>
          <w:sz w:val="20"/>
        </w:rPr>
        <w:t>Figure 2. Closed malpractice claims per 1,000 physicians by specialty, 2008-2024 (rates, not counts).</w:t>
      </w:r>
    </w:p>
    <w:p/>
    <w:p>
      <w:pPr>
        <w:spacing w:before="280" w:after="120"/>
      </w:pPr>
      <w:r>
        <w:rPr>
          <w:rFonts w:ascii="Times New Roman" w:hAnsi="Times New Roman"/>
          <w:b/>
          <w:sz w:val="20"/>
        </w:rPr>
        <w:t>Figure 3. Physician workforce by specialty, indexed to 2008 (=100).</w:t>
      </w:r>
    </w:p>
    <w:p/>
    <w:p>
      <w:pPr>
        <w:spacing w:before="280" w:after="120"/>
      </w:pPr>
      <w:r>
        <w:rPr>
          <w:rFonts w:ascii="Times New Roman" w:hAnsi="Times New Roman"/>
          <w:b/>
          <w:sz w:val="20"/>
        </w:rPr>
        <w:t>Figure 4. Equivalence (TOST) of the litigation-rate effect against +/-1% and +/-2% margins; horizontal bars are 90% confidence intervals.</w:t>
      </w:r>
    </w:p>
    <w:p/>
    <w:p>
      <w:pPr>
        <w:spacing w:before="280" w:after="120"/>
      </w:pPr>
      <w:r>
        <w:rPr>
          <w:rFonts w:ascii="Times New Roman" w:hAnsi="Times New Roman"/>
          <w:b/>
          <w:sz w:val="20"/>
        </w:rPr>
        <w:t>Figure 5.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6.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7. Counterfactual policy simulation: marginal 10-year change in physician counts by specialty relative to the projected baseline drift. The MDE benchmark is the minimum detectable per-SD effect from the primary analysis.</w:t>
      </w:r>
    </w:p>
    <w:p/>
    <w:p>
      <w:pPr>
        <w:spacing w:before="280" w:after="12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Table 2.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Table 4.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Table 5.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Table 6.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Table 7.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Table 8.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Table 9.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Table 10.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Table 11.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