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Risk perception versus structural incentives in physician specialty choice: a Japanese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persistent workforce problem, and malpractice litigation is often assumed to push physicians away from high-risk fields. Using national administrative data for 12 clinical specialties in Japan (2008-2024), we tested whether litigation risk predicts physician supply and hospital facility counts. Exposure was malpractice claims per 1,000 physicians; we regressed biennial log-changes in physician and facility counts on the lagged litigation rate using specialty and wave fixed effects, clustered standard errors, and equivalence tests. Litigation rate was unrelated to physician growth (coefficient -0.0009; 95% CI -0.0043 to +0.0025; p=0.56) or facility-count growth (p=0.90), and a one-SD higher rate shifted physician growth by less than +/-1% (TOST p=0.023). Although perceived risk is high, structural incentives -- training costs, fee-for-service income, and status-quo bias -- keep physicians in high-risk fields. Reducing litigation exposure is unlikely to correct specialty maldistribution;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an instrument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instrument: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(Japan Council for Quality Health Care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Table 1.</w:t>
      </w:r>
    </w:p>
    <w:p>
      <w:pPr>
        <w:spacing w:before="280" w:after="120"/>
      </w:pPr>
      <w:r>
        <w:rPr>
          <w:rFonts w:ascii="Times New Roman" w:hAnsi="Times New Roman"/>
          <w:b/>
          <w:sz w:val="20"/>
        </w:rPr>
        <w:t>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Series</w:t>
            </w:r>
          </w:p>
        </w:tc>
        <w:tc>
          <w:tcPr>
            <w:tcW w:type="dxa" w:w="1872"/>
          </w:tcPr>
          <w:p>
            <w:pPr>
              <w:jc w:val="center"/>
            </w:pPr>
            <w:r>
              <w:rPr>
                <w:rFonts w:ascii="Times New Roman" w:hAnsi="Times New Roman"/>
                <w:b/>
                <w:sz w:val="18"/>
              </w:rPr>
              <w:t>Source</w:t>
            </w:r>
          </w:p>
        </w:tc>
        <w:tc>
          <w:tcPr>
            <w:tcW w:type="dxa" w:w="1872"/>
          </w:tcPr>
          <w:p>
            <w:pPr>
              <w:jc w:val="center"/>
            </w:pPr>
            <w:r>
              <w:rPr>
                <w:rFonts w:ascii="Times New Roman" w:hAnsi="Times New Roman"/>
                <w:b/>
                <w:sz w:val="18"/>
              </w:rPr>
              <w:t>Resolution</w:t>
            </w:r>
          </w:p>
        </w:tc>
        <w:tc>
          <w:tcPr>
            <w:tcW w:type="dxa" w:w="1872"/>
          </w:tcPr>
          <w:p>
            <w:pPr>
              <w:jc w:val="center"/>
            </w:pPr>
            <w:r>
              <w:rPr>
                <w:rFonts w:ascii="Times New Roman" w:hAnsi="Times New Roman"/>
                <w:b/>
                <w:sz w:val="18"/>
              </w:rPr>
              <w:t>Years</w:t>
            </w:r>
          </w:p>
        </w:tc>
        <w:tc>
          <w:tcPr>
            <w:tcW w:type="dxa" w:w="1872"/>
          </w:tcPr>
          <w:p>
            <w:pPr>
              <w:jc w:val="center"/>
            </w:pPr>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pPr>
              <w:jc w:val="center"/>
            </w:pPr>
            <w:r>
              <w:rPr>
                <w:rFonts w:ascii="Times New Roman" w:hAnsi="Times New Roman"/>
                <w:sz w:val="18"/>
              </w:rPr>
              <w:t>MHLW Statistics of Physicians</w:t>
            </w:r>
          </w:p>
        </w:tc>
        <w:tc>
          <w:tcPr>
            <w:tcW w:type="dxa" w:w="1872"/>
          </w:tcPr>
          <w:p>
            <w:pPr>
              <w:jc w:val="center"/>
            </w:pPr>
            <w:r>
              <w:rPr>
                <w:rFonts w:ascii="Times New Roman" w:hAnsi="Times New Roman"/>
                <w:sz w:val="18"/>
              </w:rPr>
              <w:t>Biennial</w:t>
            </w:r>
          </w:p>
        </w:tc>
        <w:tc>
          <w:tcPr>
            <w:tcW w:type="dxa" w:w="1872"/>
          </w:tcPr>
          <w:p>
            <w:pPr>
              <w:jc w:val="center"/>
            </w:pPr>
            <w:r>
              <w:rPr>
                <w:rFonts w:ascii="Times New Roman" w:hAnsi="Times New Roman"/>
                <w:sz w:val="18"/>
              </w:rPr>
              <w:t>2004-2024</w:t>
            </w:r>
          </w:p>
        </w:tc>
        <w:tc>
          <w:tcPr>
            <w:tcW w:type="dxa" w:w="1872"/>
          </w:tcPr>
          <w:p>
            <w:pPr>
              <w:jc w:val="center"/>
            </w:pPr>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pPr>
              <w:jc w:val="center"/>
            </w:pPr>
            <w:r>
              <w:rPr>
                <w:rFonts w:ascii="Times New Roman" w:hAnsi="Times New Roman"/>
                <w:sz w:val="18"/>
              </w:rPr>
              <w:t>Supreme Court, by specialty</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pPr>
              <w:jc w:val="center"/>
            </w:pPr>
            <w:r>
              <w:rPr>
                <w:rFonts w:ascii="Times New Roman" w:hAnsi="Times New Roman"/>
                <w:sz w:val="18"/>
              </w:rPr>
              <w:t>MHLW Survey of Medical Institutions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pPr>
              <w:jc w:val="center"/>
            </w:pPr>
            <w:r>
              <w:rPr>
                <w:rFonts w:ascii="Times New Roman" w:hAnsi="Times New Roman"/>
                <w:sz w:val="18"/>
              </w:rPr>
              <w:t>MHLW Survey (static)</w:t>
            </w:r>
          </w:p>
        </w:tc>
        <w:tc>
          <w:tcPr>
            <w:tcW w:type="dxa" w:w="1872"/>
          </w:tcPr>
          <w:p>
            <w:pPr>
              <w:jc w:val="center"/>
            </w:pPr>
            <w:r>
              <w:rPr>
                <w:rFonts w:ascii="Times New Roman" w:hAnsi="Times New Roman"/>
                <w:sz w:val="18"/>
              </w:rPr>
              <w:t>Every 3 years</w:t>
            </w:r>
          </w:p>
        </w:tc>
        <w:tc>
          <w:tcPr>
            <w:tcW w:type="dxa" w:w="1872"/>
          </w:tcPr>
          <w:p>
            <w:pPr>
              <w:jc w:val="center"/>
            </w:pPr>
            <w:r>
              <w:rPr>
                <w:rFonts w:ascii="Times New Roman" w:hAnsi="Times New Roman"/>
                <w:sz w:val="18"/>
              </w:rPr>
              <w:t>2008-2023</w:t>
            </w:r>
          </w:p>
        </w:tc>
        <w:tc>
          <w:tcPr>
            <w:tcW w:type="dxa" w:w="1872"/>
          </w:tcPr>
          <w:p>
            <w:pPr>
              <w:jc w:val="center"/>
            </w:pPr>
            <w:r>
              <w:rPr>
                <w:rFonts w:ascii="Times New Roman" w:hAnsi="Times New Roman"/>
                <w:sz w:val="18"/>
              </w:rPr>
              <w:t>Descriptive only</w:t>
            </w:r>
          </w:p>
        </w:tc>
      </w:tr>
      <w:tr>
        <w:tc>
          <w:tcPr>
            <w:tcW w:type="dxa" w:w="1872"/>
          </w:tcPr>
          <w:p>
            <w:r>
              <w:rPr>
                <w:rFonts w:ascii="Times New Roman" w:hAnsi="Times New Roman"/>
                <w:sz w:val="18"/>
              </w:rPr>
              <w:t>JMSR report counts</w:t>
            </w:r>
          </w:p>
        </w:tc>
        <w:tc>
          <w:tcPr>
            <w:tcW w:type="dxa" w:w="1872"/>
          </w:tcPr>
          <w:p>
            <w:pPr>
              <w:jc w:val="center"/>
            </w:pPr>
            <w:r>
              <w:rPr>
                <w:rFonts w:ascii="Times New Roman" w:hAnsi="Times New Roman"/>
                <w:sz w:val="18"/>
              </w:rPr>
              <w:t>JMSR / MAIS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2015-2024</w:t>
            </w:r>
          </w:p>
        </w:tc>
        <w:tc>
          <w:tcPr>
            <w:tcW w:type="dxa" w:w="1872"/>
          </w:tcPr>
          <w:p>
            <w:pPr>
              <w:jc w:val="center"/>
            </w:pPr>
            <w:r>
              <w:rPr>
                <w:rFonts w:ascii="Times New Roman" w:hAnsi="Times New Roman"/>
                <w:sz w:val="18"/>
              </w:rPr>
              <w:t>Sensitivity (2016-2024)</w:t>
            </w:r>
          </w:p>
        </w:tc>
      </w:tr>
      <w:tr>
        <w:tc>
          <w:tcPr>
            <w:tcW w:type="dxa" w:w="1872"/>
          </w:tcPr>
          <w:p>
            <w:r>
              <w:rPr>
                <w:rFonts w:ascii="Times New Roman" w:hAnsi="Times New Roman"/>
                <w:sz w:val="18"/>
              </w:rPr>
              <w:t>Newspaper article counts</w:t>
            </w:r>
          </w:p>
        </w:tc>
        <w:tc>
          <w:tcPr>
            <w:tcW w:type="dxa" w:w="1872"/>
          </w:tcPr>
          <w:p>
            <w:pPr>
              <w:jc w:val="center"/>
            </w:pPr>
            <w:r>
              <w:rPr>
                <w:rFonts w:ascii="Times New Roman" w:hAnsi="Times New Roman"/>
                <w:sz w:val="18"/>
              </w:rPr>
              <w:t>Nikkei Telecom 21</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2008-2018</w:t>
            </w:r>
          </w:p>
        </w:tc>
        <w:tc>
          <w:tcPr>
            <w:tcW w:type="dxa" w:w="1872"/>
          </w:tcPr>
          <w:p>
            <w:pPr>
              <w:jc w:val="center"/>
            </w:pPr>
            <w:r>
              <w:rPr>
                <w:rFonts w:ascii="Times New Roman" w:hAnsi="Times New Roman"/>
                <w:sz w:val="18"/>
              </w:rPr>
              <w:t>Sensitivity (2009-2018)</w:t>
            </w:r>
          </w:p>
        </w:tc>
      </w:tr>
    </w:tbl>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 facility counts) and regressed it on the lagged litigation rate at the start of the interval, in a panel with specialty and wave fixed effects, clustered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spacing w:before="280"/>
        <w:jc w:val="center"/>
      </w:pPr>
      <w:r>
        <w:drawing>
          <wp:inline xmlns:a="http://schemas.openxmlformats.org/drawingml/2006/main" xmlns:pic="http://schemas.openxmlformats.org/drawingml/2006/picture">
            <wp:extent cx="5303520" cy="5892800"/>
            <wp:docPr id="5" name="Picture 5"/>
            <wp:cNvGraphicFramePr>
              <a:graphicFrameLocks noChangeAspect="1"/>
            </wp:cNvGraphicFramePr>
            <a:graphic>
              <a:graphicData uri="http://schemas.openxmlformats.org/drawingml/2006/picture">
                <pic:pic>
                  <pic:nvPicPr>
                    <pic:cNvPr id="0" name="ha_Figure_5.png"/>
                    <pic:cNvPicPr/>
                  </pic:nvPicPr>
                  <pic:blipFill>
                    <a:blip r:embed="rId13"/>
                    <a:stretch>
                      <a:fillRect/>
                    </a:stretch>
                  </pic:blipFill>
                  <pic:spPr>
                    <a:xfrm>
                      <a:off x="0" y="0"/>
                      <a:ext cx="5303520" cy="5892800"/>
                    </a:xfrm>
                    <a:prstGeom prst="rect"/>
                  </pic:spPr>
                </pic:pic>
              </a:graphicData>
            </a:graphic>
          </wp:inline>
        </w:drawing>
      </w:r>
    </w:p>
    <w:p>
      <w:pPr>
        <w:spacing w:after="120"/>
      </w:pPr>
      <w:r>
        <w:rPr>
          <w:rFonts w:ascii="Times New Roman" w:hAnsi="Times New Roman"/>
          <w:b/>
          <w:sz w:val="20"/>
        </w:rPr>
        <w:t>Figure 1. Sensitivity-analysis framework for evaluating malpractice-litigation risk as a healthcare workforce-allocation instrument.</w:t>
      </w:r>
    </w:p>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 counts or hospital facility counts,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tools have produced: for example, targeted residency subsidies raised primary-care physician supply by about 4% in a comparable setting. (McNamara and Pineda-Torres, 2025) That 4% is a total programme effect, whereas our +/-1% and +/-2% margins are biennial, so the margins are substantially smaller than the policy-relevant shift and therefore conservative.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sensitivity checks are documented in the analysis code repository.</w:t>
      </w:r>
    </w:p>
    <w:p>
      <w:pPr>
        <w:pStyle w:val="Heading2"/>
      </w:pPr>
      <w:r>
        <w:rPr>
          <w:rFonts w:ascii="Times New Roman" w:hAnsi="Times New Roman"/>
          <w:color w:val="000000"/>
        </w:rPr>
        <w:t>Policy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scenarios. The baseline used each specialty's observed mean biennial log-growth from 2004 to 2024. The two litigation-reduction scenarios set the litigation rate to zero and applied the point estimate and the 95% lower-bound coefficient, respectively, so they show both the central projection and the most favourable effect consistent with the data. The third scenario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(Figure 2). Over the same period the physician workforce grew in 11 of 12 specialties (Figure 3; Table 2); the only exception was general surgery, which was nearly flat (-2.3% across 16 years). Exposure and workforce did not move in opposite directions as a flight-from-risk account would predict.</w:t>
      </w:r>
    </w:p>
    <w:p>
      <w:pPr>
        <w:spacing w:before="280"/>
        <w:jc w:val="center"/>
      </w:pPr>
      <w:r>
        <w:drawing>
          <wp:inline xmlns:a="http://schemas.openxmlformats.org/drawingml/2006/main" xmlns:pic="http://schemas.openxmlformats.org/drawingml/2006/picture">
            <wp:extent cx="5303520" cy="3535680"/>
            <wp:docPr id="6" name="Picture 6"/>
            <wp:cNvGraphicFramePr>
              <a:graphicFrameLocks noChangeAspect="1"/>
            </wp:cNvGraphicFramePr>
            <a:graphic>
              <a:graphicData uri="http://schemas.openxmlformats.org/drawingml/2006/picture">
                <pic:pic>
                  <pic:nvPicPr>
                    <pic:cNvPr id="0" name="ha_Figure_6.png"/>
                    <pic:cNvPicPr/>
                  </pic:nvPicPr>
                  <pic:blipFill>
                    <a:blip r:embed="rId14"/>
                    <a:stretch>
                      <a:fillRect/>
                    </a:stretch>
                  </pic:blipFill>
                  <pic:spPr>
                    <a:xfrm>
                      <a:off x="0" y="0"/>
                      <a:ext cx="5303520" cy="3535680"/>
                    </a:xfrm>
                    <a:prstGeom prst="rect"/>
                  </pic:spPr>
                </pic:pic>
              </a:graphicData>
            </a:graphic>
          </wp:inline>
        </w:drawing>
      </w:r>
    </w:p>
    <w:p>
      <w:pPr>
        <w:spacing w:after="120"/>
      </w:pPr>
      <w:r>
        <w:rPr>
          <w:rFonts w:ascii="Times New Roman" w:hAnsi="Times New Roman"/>
          <w:b/>
          <w:sz w:val="20"/>
        </w:rPr>
        <w:t>Figure 2. Closed malpractice claims per 1,000 physicians by specialty, 2008-2024 (rates, not counts).</w:t>
      </w:r>
    </w:p>
    <w:p/>
    <w:p>
      <w:pPr>
        <w:spacing w:before="280"/>
        <w:jc w:val="center"/>
      </w:pPr>
      <w:r>
        <w:drawing>
          <wp:inline xmlns:a="http://schemas.openxmlformats.org/drawingml/2006/main" xmlns:pic="http://schemas.openxmlformats.org/drawingml/2006/picture">
            <wp:extent cx="5303520" cy="3535680"/>
            <wp:docPr id="7" name="Picture 7"/>
            <wp:cNvGraphicFramePr>
              <a:graphicFrameLocks noChangeAspect="1"/>
            </wp:cNvGraphicFramePr>
            <a:graphic>
              <a:graphicData uri="http://schemas.openxmlformats.org/drawingml/2006/picture">
                <pic:pic>
                  <pic:nvPicPr>
                    <pic:cNvPr id="0" name="ha_Figure_7.png"/>
                    <pic:cNvPicPr/>
                  </pic:nvPicPr>
                  <pic:blipFill>
                    <a:blip r:embed="rId15"/>
                    <a:stretch>
                      <a:fillRect/>
                    </a:stretch>
                  </pic:blipFill>
                  <pic:spPr>
                    <a:xfrm>
                      <a:off x="0" y="0"/>
                      <a:ext cx="5303520" cy="3535680"/>
                    </a:xfrm>
                    <a:prstGeom prst="rect"/>
                  </pic:spPr>
                </pic:pic>
              </a:graphicData>
            </a:graphic>
          </wp:inline>
        </w:drawing>
      </w:r>
    </w:p>
    <w:p>
      <w:pPr>
        <w:spacing w:after="120"/>
      </w:pPr>
      <w:r>
        <w:rPr>
          <w:rFonts w:ascii="Times New Roman" w:hAnsi="Times New Roman"/>
          <w:b/>
          <w:sz w:val="20"/>
        </w:rPr>
        <w:t>Figure 3. Physician workforce by specialty, indexed to 2008 (=100).</w:t>
      </w:r>
    </w:p>
    <w:p/>
    <w:p>
      <w:pPr>
        <w:spacing w:before="280" w:after="120"/>
      </w:pPr>
      <w:r>
        <w:rPr>
          <w:rFonts w:ascii="Times New Roman" w:hAnsi="Times New Roman"/>
          <w:b/>
          <w:sz w:val="20"/>
        </w:rPr>
        <w:t>Table 2. Physicians, litigation rate (per 1,000 physicians) and hospital facilities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 facilities 2008</w:t>
            </w:r>
          </w:p>
        </w:tc>
        <w:tc>
          <w:tcPr>
            <w:tcW w:type="dxa" w:w="1337"/>
          </w:tcPr>
          <w:p>
            <w:pPr>
              <w:jc w:val="center"/>
            </w:pPr>
            <w:r>
              <w:rPr>
                <w:rFonts w:ascii="Times New Roman" w:hAnsi="Times New Roman"/>
                <w:b/>
                <w:sz w:val="18"/>
              </w:rPr>
              <w:t>Hospital facilities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4; Table 3)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Table 4.</w:t>
      </w:r>
    </w:p>
    <w:p>
      <w:pPr>
        <w:spacing w:before="280"/>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Pr>
        <w:spacing w:after="120"/>
      </w:pPr>
      <w:r>
        <w:rPr>
          <w:rFonts w:ascii="Times New Roman" w:hAnsi="Times New Roman"/>
          <w:b/>
          <w:sz w:val="20"/>
        </w:rPr>
        <w:t>Figure 4. Equivalence (TOST) of the litigation-rate effect against +/-1% and +/-2% margins; horizontal bars are 90% confidence intervals.</w:t>
      </w:r>
    </w:p>
    <w:p/>
    <w:p>
      <w:pPr>
        <w:spacing w:before="280" w:after="120"/>
      </w:pPr>
      <w:r>
        <w:rPr>
          <w:rFonts w:ascii="Times New Roman" w:hAnsi="Times New Roman"/>
          <w:b/>
          <w:sz w:val="20"/>
        </w:rPr>
        <w:t>Table 3.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facility-count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facility-count growth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after="120"/>
      </w:pPr>
      <w:r>
        <w:rPr>
          <w:rFonts w:ascii="Times New Roman" w:hAnsi="Times New Roman"/>
          <w:b/>
          <w:sz w:val="20"/>
        </w:rPr>
        <w:t>Table 4. Equivalence (TOST) results (effect per +1 SD litigation rate).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Coef per SD</w:t>
            </w:r>
          </w:p>
        </w:tc>
        <w:tc>
          <w:tcPr>
            <w:tcW w:type="dxa" w:w="1560"/>
          </w:tcPr>
          <w:p>
            <w:pPr>
              <w:jc w:val="center"/>
            </w:pPr>
            <w:r>
              <w:rPr>
                <w:rFonts w:ascii="Times New Roman" w:hAnsi="Times New Roman"/>
                <w:b/>
                <w:sz w:val="18"/>
              </w:rPr>
              <w:t>90% CI</w:t>
            </w:r>
          </w:p>
        </w:tc>
        <w:tc>
          <w:tcPr>
            <w:tcW w:type="dxa" w:w="1560"/>
          </w:tcPr>
          <w:p>
            <w:pPr>
              <w:jc w:val="center"/>
            </w:pPr>
            <w:r>
              <w:rPr>
                <w:rFonts w:ascii="Times New Roman" w:hAnsi="Times New Roman"/>
                <w:b/>
                <w:sz w:val="18"/>
              </w:rPr>
              <w:t>Margin</w:t>
            </w:r>
          </w:p>
        </w:tc>
        <w:tc>
          <w:tcPr>
            <w:tcW w:type="dxa" w:w="1560"/>
          </w:tcPr>
          <w:p>
            <w:pPr>
              <w:jc w:val="center"/>
            </w:pPr>
            <w:r>
              <w:rPr>
                <w:rFonts w:ascii="Times New Roman" w:hAnsi="Times New Roman"/>
                <w:b/>
                <w:sz w:val="18"/>
              </w:rPr>
              <w:t>TOST p</w:t>
            </w:r>
          </w:p>
        </w:tc>
        <w:tc>
          <w:tcPr>
            <w:tcW w:type="dxa" w:w="1560"/>
          </w:tcPr>
          <w:p>
            <w:pPr>
              <w:jc w:val="center"/>
            </w:pPr>
            <w:r>
              <w:rPr>
                <w:rFonts w:ascii="Times New Roman" w:hAnsi="Times New Roman"/>
                <w:b/>
                <w:sz w:val="18"/>
              </w:rPr>
              <w:t>Equivalent</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0.023</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&lt;0.001</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0.059</w:t>
            </w:r>
          </w:p>
        </w:tc>
        <w:tc>
          <w:tcPr>
            <w:tcW w:type="dxa" w:w="1560"/>
          </w:tcPr>
          <w:p>
            <w:pPr>
              <w:jc w:val="center"/>
            </w:pPr>
            <w:r>
              <w:rPr>
                <w:rFonts w:ascii="Times New Roman" w:hAnsi="Times New Roman"/>
                <w:sz w:val="18"/>
              </w:rPr>
              <w:t>No</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0.002</w:t>
            </w:r>
          </w:p>
        </w:tc>
        <w:tc>
          <w:tcPr>
            <w:tcW w:type="dxa" w:w="1560"/>
          </w:tcPr>
          <w:p>
            <w:pPr>
              <w:jc w:val="center"/>
            </w:pPr>
            <w:r>
              <w:rPr>
                <w:rFonts w:ascii="Times New Roman" w:hAnsi="Times New Roman"/>
                <w:sz w:val="18"/>
              </w:rPr>
              <w:t>Yes</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5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before="280"/>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5. Biennial physician growth against lagged litigation exposure measured as (a) counts and (b) rates. Points are coloured by specialty; the count panel shows the size confounding that the rate panel removes.</w:t>
      </w:r>
    </w:p>
    <w:p/>
    <w:p>
      <w:pPr>
        <w:spacing w:line="480" w:lineRule="auto" w:after="120"/>
      </w:pPr>
      <w:r>
        <w:rPr>
          <w:rFonts w:ascii="Times New Roman" w:hAnsi="Times New Roman"/>
          <w:b w:val="0"/>
          <w:i w:val="0"/>
          <w:sz w:val="24"/>
        </w:rPr>
        <w:t>The same count-versus-rate contrast for biennial hospital facility-count growth is shown in Figure 6. As with physician growth, the count exposure creates a spurious size confound that disappears once the rate-adjusted exposure is used.</w:t>
      </w:r>
    </w:p>
    <w:p>
      <w:pPr>
        <w:spacing w:before="280"/>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6. Biennial hospital facility-count growth against lagged litigation exposure measured as (a) counts and (b) rates. Points are coloured by specialty; the rate-adjusted panel shows no systematic association.</w:t>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3),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Table 5). The null litigation result is neither explained nor masked by broader medical-accident reporting.</w:t>
      </w:r>
    </w:p>
    <w:p>
      <w:pPr>
        <w:spacing w:before="280" w:after="120"/>
      </w:pPr>
      <w:r>
        <w:rPr>
          <w:rFonts w:ascii="Times New Roman" w:hAnsi="Times New Roman"/>
          <w:b/>
          <w:sz w:val="20"/>
        </w:rPr>
        <w:t>Table 5. JMSR-adjusted annual hospital facility-count growth model (2016-2024) with both exposures entered simultaneously.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+0.0021</w:t>
            </w:r>
          </w:p>
        </w:tc>
        <w:tc>
          <w:tcPr>
            <w:tcW w:type="dxa" w:w="2340"/>
          </w:tcPr>
          <w:p>
            <w:pPr>
              <w:jc w:val="center"/>
            </w:pPr>
            <w:r>
              <w:rPr>
                <w:rFonts w:ascii="Times New Roman" w:hAnsi="Times New Roman"/>
                <w:sz w:val="18"/>
              </w:rPr>
              <w:t>0.28</w:t>
            </w:r>
          </w:p>
        </w:tc>
        <w:tc>
          <w:tcPr>
            <w:tcW w:type="dxa" w:w="2340"/>
          </w:tcPr>
          <w:p>
            <w:pPr>
              <w:jc w:val="center"/>
            </w:pPr>
            <w:r>
              <w:rPr>
                <w:rFonts w:ascii="Times New Roman" w:hAnsi="Times New Roman"/>
                <w:sz w:val="18"/>
              </w:rPr>
              <w:t>108</w:t>
            </w:r>
          </w:p>
        </w:tc>
      </w:tr>
      <w:tr>
        <w:tc>
          <w:tcPr>
            <w:tcW w:type="dxa" w:w="2340"/>
          </w:tcPr>
          <w:p>
            <w:r>
              <w:rPr>
                <w:rFonts w:ascii="Times New Roman" w:hAnsi="Times New Roman"/>
                <w:sz w:val="18"/>
              </w:rPr>
              <w:t>Lagged JMSR report rate</w:t>
            </w:r>
          </w:p>
        </w:tc>
        <w:tc>
          <w:tcPr>
            <w:tcW w:type="dxa" w:w="2340"/>
          </w:tcPr>
          <w:p>
            <w:pPr>
              <w:jc w:val="center"/>
            </w:pPr>
            <w:r>
              <w:rPr>
                <w:rFonts w:ascii="Times New Roman" w:hAnsi="Times New Roman"/>
                <w:sz w:val="18"/>
              </w:rPr>
              <w:t>-0.0009</w:t>
            </w:r>
          </w:p>
        </w:tc>
        <w:tc>
          <w:tcPr>
            <w:tcW w:type="dxa" w:w="2340"/>
          </w:tcPr>
          <w:p>
            <w:pPr>
              <w:jc w:val="center"/>
            </w:pPr>
            <w:r>
              <w:rPr>
                <w:rFonts w:ascii="Times New Roman" w:hAnsi="Times New Roman"/>
                <w:sz w:val="18"/>
              </w:rPr>
              <w:t>0.66</w:t>
            </w:r>
          </w:p>
        </w:tc>
        <w:tc>
          <w:tcPr>
            <w:tcW w:type="dxa" w:w="2340"/>
          </w:tcPr>
          <w:p>
            <w:pPr>
              <w:jc w:val="center"/>
            </w:pPr>
            <w:r>
              <w:rPr>
                <w:rFonts w:ascii="Times New Roman" w:hAnsi="Times New Roman"/>
                <w:sz w:val="18"/>
              </w:rPr>
              <w:t>108</w:t>
            </w:r>
          </w:p>
        </w:tc>
      </w:tr>
    </w:tbl>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Table 6). Media coverage does not explain the null litigation effect either. Holm step-down adjusted p-values for the exploratory sensitivity family are reported in Table 7.</w:t>
      </w:r>
    </w:p>
    <w:p>
      <w:pPr>
        <w:spacing w:before="280" w:after="120"/>
      </w:pPr>
      <w:r>
        <w:rPr>
          <w:rFonts w:ascii="Times New Roman" w:hAnsi="Times New Roman"/>
          <w:b/>
          <w:sz w:val="20"/>
        </w:rPr>
        <w:t>Table 6. Media-adjusted annual hospital facility-count growth model (2009-2018) with a linear time trend; full year fixed effects are omitted because the national article-count series is collinear with them.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-0.0003</w:t>
            </w:r>
          </w:p>
        </w:tc>
        <w:tc>
          <w:tcPr>
            <w:tcW w:type="dxa" w:w="2340"/>
          </w:tcPr>
          <w:p>
            <w:pPr>
              <w:jc w:val="center"/>
            </w:pPr>
            <w:r>
              <w:rPr>
                <w:rFonts w:ascii="Times New Roman" w:hAnsi="Times New Roman"/>
                <w:sz w:val="18"/>
              </w:rPr>
              <w:t>0.72</w:t>
            </w:r>
          </w:p>
        </w:tc>
        <w:tc>
          <w:tcPr>
            <w:tcW w:type="dxa" w:w="2340"/>
          </w:tcPr>
          <w:p>
            <w:pPr>
              <w:jc w:val="center"/>
            </w:pPr>
            <w:r>
              <w:rPr>
                <w:rFonts w:ascii="Times New Roman" w:hAnsi="Times New Roman"/>
                <w:sz w:val="18"/>
              </w:rPr>
              <w:t>120</w:t>
            </w:r>
          </w:p>
        </w:tc>
      </w:tr>
      <w:tr>
        <w:tc>
          <w:tcPr>
            <w:tcW w:type="dxa" w:w="2340"/>
          </w:tcPr>
          <w:p>
            <w:r>
              <w:rPr>
                <w:rFonts w:ascii="Times New Roman" w:hAnsi="Times New Roman"/>
                <w:sz w:val="18"/>
              </w:rPr>
              <w:t>Lagged media count (per 1,000 articles)</w:t>
            </w:r>
          </w:p>
        </w:tc>
        <w:tc>
          <w:tcPr>
            <w:tcW w:type="dxa" w:w="2340"/>
          </w:tcPr>
          <w:p>
            <w:pPr>
              <w:jc w:val="center"/>
            </w:pPr>
            <w:r>
              <w:rPr>
                <w:rFonts w:ascii="Times New Roman" w:hAnsi="Times New Roman"/>
                <w:sz w:val="18"/>
              </w:rPr>
              <w:t>-0.0014</w:t>
            </w:r>
          </w:p>
        </w:tc>
        <w:tc>
          <w:tcPr>
            <w:tcW w:type="dxa" w:w="2340"/>
          </w:tcPr>
          <w:p>
            <w:pPr>
              <w:jc w:val="center"/>
            </w:pPr>
            <w:r>
              <w:rPr>
                <w:rFonts w:ascii="Times New Roman" w:hAnsi="Times New Roman"/>
                <w:sz w:val="18"/>
              </w:rPr>
              <w:t>0.21</w:t>
            </w:r>
          </w:p>
        </w:tc>
        <w:tc>
          <w:tcPr>
            <w:tcW w:type="dxa" w:w="2340"/>
          </w:tcPr>
          <w:p>
            <w:pPr>
              <w:jc w:val="center"/>
            </w:pPr>
            <w:r>
              <w:rPr>
                <w:rFonts w:ascii="Times New Roman" w:hAnsi="Times New Roman"/>
                <w:sz w:val="18"/>
              </w:rPr>
              <w:t>120</w:t>
            </w:r>
          </w:p>
        </w:tc>
      </w:tr>
    </w:tbl>
    <w:p/>
    <w:p>
      <w:pPr>
        <w:spacing w:before="280" w:after="120"/>
      </w:pPr>
      <w:r>
        <w:rPr>
          <w:rFonts w:ascii="Times New Roman" w:hAnsi="Times New Roman"/>
          <w:b/>
          <w:sz w:val="20"/>
        </w:rPr>
        <w:t>Table 7. Holm step-down adjusted p-values for the exploratory sensitivity tests and the JOCS-CP indicator.</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Test</w:t>
            </w:r>
          </w:p>
        </w:tc>
        <w:tc>
          <w:tcPr>
            <w:tcW w:type="dxa" w:w="3120"/>
          </w:tcPr>
          <w:p>
            <w:pPr>
              <w:jc w:val="center"/>
            </w:pPr>
            <w:r>
              <w:rPr>
                <w:rFonts w:ascii="Times New Roman" w:hAnsi="Times New Roman"/>
                <w:b/>
                <w:sz w:val="18"/>
              </w:rPr>
              <w:t>Raw p</w:t>
            </w:r>
          </w:p>
        </w:tc>
        <w:tc>
          <w:tcPr>
            <w:tcW w:type="dxa" w:w="3120"/>
          </w:tcPr>
          <w:p>
            <w:pPr>
              <w:jc w:val="center"/>
            </w:pPr>
            <w:r>
              <w:rPr>
                <w:rFonts w:ascii="Times New Roman" w:hAnsi="Times New Roman"/>
                <w:b/>
                <w:sz w:val="18"/>
              </w:rPr>
              <w:t>Holm-adjusted p</w:t>
            </w:r>
          </w:p>
        </w:tc>
      </w:tr>
      <w:tr>
        <w:tc>
          <w:tcPr>
            <w:tcW w:type="dxa" w:w="3120"/>
          </w:tcPr>
          <w:p>
            <w:r>
              <w:rPr>
                <w:rFonts w:ascii="Times New Roman" w:hAnsi="Times New Roman"/>
                <w:sz w:val="18"/>
              </w:rPr>
              <w:t>Biennial physician growth ~ lagged litigation rate (JOCS-CP indicator)</w:t>
            </w:r>
          </w:p>
        </w:tc>
        <w:tc>
          <w:tcPr>
            <w:tcW w:type="dxa" w:w="3120"/>
          </w:tcPr>
          <w:p>
            <w:pPr>
              <w:jc w:val="center"/>
            </w:pPr>
            <w:r>
              <w:rPr>
                <w:rFonts w:ascii="Times New Roman" w:hAnsi="Times New Roman"/>
                <w:sz w:val="18"/>
              </w:rPr>
              <w:t>0.249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Biennial hospital growth ~ lagged litigation rate (JOCS-CP indicator)</w:t>
            </w:r>
          </w:p>
        </w:tc>
        <w:tc>
          <w:tcPr>
            <w:tcW w:type="dxa" w:w="3120"/>
          </w:tcPr>
          <w:p>
            <w:pPr>
              <w:jc w:val="center"/>
            </w:pPr>
            <w:r>
              <w:rPr>
                <w:rFonts w:ascii="Times New Roman" w:hAnsi="Times New Roman"/>
                <w:sz w:val="18"/>
              </w:rPr>
              <w:t>0.013</w:t>
            </w:r>
          </w:p>
        </w:tc>
        <w:tc>
          <w:tcPr>
            <w:tcW w:type="dxa" w:w="3120"/>
          </w:tcPr>
          <w:p>
            <w:pPr>
              <w:jc w:val="center"/>
            </w:pPr>
            <w:r>
              <w:rPr>
                <w:rFonts w:ascii="Times New Roman" w:hAnsi="Times New Roman"/>
                <w:sz w:val="18"/>
              </w:rPr>
              <w:t>0.250</w:t>
            </w:r>
          </w:p>
        </w:tc>
      </w:tr>
      <w:tr>
        <w:tc>
          <w:tcPr>
            <w:tcW w:type="dxa" w:w="3120"/>
          </w:tcPr>
          <w:p>
            <w:r>
              <w:rPr>
                <w:rFonts w:ascii="Times New Roman" w:hAnsi="Times New Roman"/>
                <w:sz w:val="18"/>
              </w:rPr>
              <w:t>COUNTS contrast: physician growth ~ lagged litigation COUNT</w:t>
            </w:r>
          </w:p>
        </w:tc>
        <w:tc>
          <w:tcPr>
            <w:tcW w:type="dxa" w:w="3120"/>
          </w:tcPr>
          <w:p>
            <w:pPr>
              <w:jc w:val="center"/>
            </w:pPr>
            <w:r>
              <w:rPr>
                <w:rFonts w:ascii="Times New Roman" w:hAnsi="Times New Roman"/>
                <w:sz w:val="18"/>
              </w:rPr>
              <w:t>0.506</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Annual hospital growth ~ lagged litigation rate (2008-2024)</w:t>
            </w:r>
          </w:p>
        </w:tc>
        <w:tc>
          <w:tcPr>
            <w:tcW w:type="dxa" w:w="3120"/>
          </w:tcPr>
          <w:p>
            <w:pPr>
              <w:jc w:val="center"/>
            </w:pPr>
            <w:r>
              <w:rPr>
                <w:rFonts w:ascii="Times New Roman" w:hAnsi="Times New Roman"/>
                <w:sz w:val="18"/>
              </w:rPr>
              <w:t>0.994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SENSITIVITY interpolated-annual physician growth ~ lag rate</w:t>
            </w:r>
          </w:p>
        </w:tc>
        <w:tc>
          <w:tcPr>
            <w:tcW w:type="dxa" w:w="3120"/>
          </w:tcPr>
          <w:p>
            <w:pPr>
              <w:jc w:val="center"/>
            </w:pPr>
            <w:r>
              <w:rPr>
                <w:rFonts w:ascii="Times New Roman" w:hAnsi="Times New Roman"/>
                <w:sz w:val="18"/>
              </w:rPr>
              <w:t>0.389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(litigation rate)</w:t>
            </w:r>
          </w:p>
        </w:tc>
        <w:tc>
          <w:tcPr>
            <w:tcW w:type="dxa" w:w="3120"/>
          </w:tcPr>
          <w:p>
            <w:pPr>
              <w:jc w:val="center"/>
            </w:pPr>
            <w:r>
              <w:rPr>
                <w:rFonts w:ascii="Times New Roman" w:hAnsi="Times New Roman"/>
                <w:sz w:val="18"/>
              </w:rPr>
              <w:t>0.283</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(JMSR report rate)</w:t>
            </w:r>
          </w:p>
        </w:tc>
        <w:tc>
          <w:tcPr>
            <w:tcW w:type="dxa" w:w="3120"/>
          </w:tcPr>
          <w:p>
            <w:pPr>
              <w:jc w:val="center"/>
            </w:pPr>
            <w:r>
              <w:rPr>
                <w:rFonts w:ascii="Times New Roman" w:hAnsi="Times New Roman"/>
                <w:sz w:val="18"/>
              </w:rPr>
              <w:t>0.664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(litigation rate)</w:t>
            </w:r>
          </w:p>
        </w:tc>
        <w:tc>
          <w:tcPr>
            <w:tcW w:type="dxa" w:w="3120"/>
          </w:tcPr>
          <w:p>
            <w:pPr>
              <w:jc w:val="center"/>
            </w:pPr>
            <w:r>
              <w:rPr>
                <w:rFonts w:ascii="Times New Roman" w:hAnsi="Times New Roman"/>
                <w:sz w:val="18"/>
              </w:rPr>
              <w:t>0.718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(media count)</w:t>
            </w:r>
          </w:p>
        </w:tc>
        <w:tc>
          <w:tcPr>
            <w:tcW w:type="dxa" w:w="3120"/>
          </w:tcPr>
          <w:p>
            <w:pPr>
              <w:jc w:val="center"/>
            </w:pPr>
            <w:r>
              <w:rPr>
                <w:rFonts w:ascii="Times New Roman" w:hAnsi="Times New Roman"/>
                <w:sz w:val="18"/>
              </w:rPr>
              <w:t>0.209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(main effect)</w:t>
            </w:r>
          </w:p>
        </w:tc>
        <w:tc>
          <w:tcPr>
            <w:tcW w:type="dxa" w:w="3120"/>
          </w:tcPr>
          <w:p>
            <w:pPr>
              <w:jc w:val="center"/>
            </w:pPr>
            <w:r>
              <w:rPr>
                <w:rFonts w:ascii="Times New Roman" w:hAnsi="Times New Roman"/>
                <w:sz w:val="18"/>
              </w:rPr>
              <w:t>0.269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(interaction)</w:t>
            </w:r>
          </w:p>
        </w:tc>
        <w:tc>
          <w:tcPr>
            <w:tcW w:type="dxa" w:w="3120"/>
          </w:tcPr>
          <w:p>
            <w:pPr>
              <w:jc w:val="center"/>
            </w:pPr>
            <w:r>
              <w:rPr>
                <w:rFonts w:ascii="Times New Roman" w:hAnsi="Times New Roman"/>
                <w:sz w:val="18"/>
              </w:rPr>
              <w:t>0.240</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(main effect)</w:t>
            </w:r>
          </w:p>
        </w:tc>
        <w:tc>
          <w:tcPr>
            <w:tcW w:type="dxa" w:w="3120"/>
          </w:tcPr>
          <w:p>
            <w:pPr>
              <w:jc w:val="center"/>
            </w:pPr>
            <w:r>
              <w:rPr>
                <w:rFonts w:ascii="Times New Roman" w:hAnsi="Times New Roman"/>
                <w:sz w:val="18"/>
              </w:rPr>
              <w:t>0.239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(interaction)</w:t>
            </w:r>
          </w:p>
        </w:tc>
        <w:tc>
          <w:tcPr>
            <w:tcW w:type="dxa" w:w="3120"/>
          </w:tcPr>
          <w:p>
            <w:pPr>
              <w:jc w:val="center"/>
            </w:pPr>
            <w:r>
              <w:rPr>
                <w:rFonts w:ascii="Times New Roman" w:hAnsi="Times New Roman"/>
                <w:sz w:val="18"/>
              </w:rPr>
              <w:t>0.391</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(main effect)</w:t>
            </w:r>
          </w:p>
        </w:tc>
        <w:tc>
          <w:tcPr>
            <w:tcW w:type="dxa" w:w="3120"/>
          </w:tcPr>
          <w:p>
            <w:pPr>
              <w:jc w:val="center"/>
            </w:pPr>
            <w:r>
              <w:rPr>
                <w:rFonts w:ascii="Times New Roman" w:hAnsi="Times New Roman"/>
                <w:sz w:val="18"/>
              </w:rPr>
              <w:t>0.988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(interaction)</w:t>
            </w:r>
          </w:p>
        </w:tc>
        <w:tc>
          <w:tcPr>
            <w:tcW w:type="dxa" w:w="3120"/>
          </w:tcPr>
          <w:p>
            <w:pPr>
              <w:jc w:val="center"/>
            </w:pPr>
            <w:r>
              <w:rPr>
                <w:rFonts w:ascii="Times New Roman" w:hAnsi="Times New Roman"/>
                <w:sz w:val="18"/>
              </w:rPr>
              <w:t>0.928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(main effect)</w:t>
            </w:r>
          </w:p>
        </w:tc>
        <w:tc>
          <w:tcPr>
            <w:tcW w:type="dxa" w:w="3120"/>
          </w:tcPr>
          <w:p>
            <w:pPr>
              <w:jc w:val="center"/>
            </w:pPr>
            <w:r>
              <w:rPr>
                <w:rFonts w:ascii="Times New Roman" w:hAnsi="Times New Roman"/>
                <w:sz w:val="18"/>
              </w:rPr>
              <w:t>0.124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(interaction)</w:t>
            </w:r>
          </w:p>
        </w:tc>
        <w:tc>
          <w:tcPr>
            <w:tcW w:type="dxa" w:w="3120"/>
          </w:tcPr>
          <w:p>
            <w:pPr>
              <w:jc w:val="center"/>
            </w:pPr>
            <w:r>
              <w:rPr>
                <w:rFonts w:ascii="Times New Roman" w:hAnsi="Times New Roman"/>
                <w:sz w:val="18"/>
              </w:rPr>
              <w:t>0.064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physician growth ~ lagged litigation rate + specialty trends</w:t>
            </w:r>
          </w:p>
        </w:tc>
        <w:tc>
          <w:tcPr>
            <w:tcW w:type="dxa" w:w="3120"/>
          </w:tcPr>
          <w:p>
            <w:pPr>
              <w:jc w:val="center"/>
            </w:pPr>
            <w:r>
              <w:rPr>
                <w:rFonts w:ascii="Times New Roman" w:hAnsi="Times New Roman"/>
                <w:sz w:val="18"/>
              </w:rPr>
              <w:t>0.728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hospital growth ~ lagged litigation rate + specialty trends</w:t>
            </w:r>
          </w:p>
        </w:tc>
        <w:tc>
          <w:tcPr>
            <w:tcW w:type="dxa" w:w="3120"/>
          </w:tcPr>
          <w:p>
            <w:pPr>
              <w:jc w:val="center"/>
            </w:pPr>
            <w:r>
              <w:rPr>
                <w:rFonts w:ascii="Times New Roman" w:hAnsi="Times New Roman"/>
                <w:sz w:val="18"/>
              </w:rPr>
              <w:t>0.114</w:t>
            </w:r>
          </w:p>
        </w:tc>
        <w:tc>
          <w:tcPr>
            <w:tcW w:type="dxa" w:w="3120"/>
          </w:tcPr>
          <w:p>
            <w:pPr>
              <w:jc w:val="center"/>
            </w:pPr>
            <w:r>
              <w:rPr>
                <w:rFonts w:ascii="Times New Roman" w:hAnsi="Times New Roman"/>
                <w:sz w:val="18"/>
              </w:rPr>
              <w:t>1.000</w:t>
            </w:r>
          </w:p>
        </w:tc>
      </w:tr>
    </w:tbl>
    <w:p/>
    <w:p>
      <w:pPr>
        <w:pStyle w:val="Heading2"/>
      </w:pPr>
      <w:r>
        <w:rPr>
          <w:rFonts w:ascii="Times New Roman" w:hAnsi="Times New Roman"/>
          <w:color w:val="000000"/>
        </w:rPr>
        <w:t>Small-cluster validation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Table 8.</w:t>
      </w:r>
    </w:p>
    <w:p>
      <w:pPr>
        <w:spacing w:before="280" w:after="120"/>
      </w:pPr>
      <w:r>
        <w:rPr>
          <w:rFonts w:ascii="Times New Roman" w:hAnsi="Times New Roman"/>
          <w:b/>
          <w:sz w:val="20"/>
        </w:rPr>
        <w:t>Table 8. Cluster block-bootstrap p-values, percentile 95% confidence intervals, equivalence power (if true effect is zero), and minimum detectable effect per 1-SD litigation-rate increase.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Bootstrap p</w:t>
            </w:r>
          </w:p>
        </w:tc>
        <w:tc>
          <w:tcPr>
            <w:tcW w:type="dxa" w:w="1560"/>
          </w:tcPr>
          <w:p>
            <w:pPr>
              <w:jc w:val="center"/>
            </w:pPr>
            <w:r>
              <w:rPr>
                <w:rFonts w:ascii="Times New Roman" w:hAnsi="Times New Roman"/>
                <w:b/>
                <w:sz w:val="18"/>
              </w:rPr>
              <w:t>Bootstrap 95% CI</w:t>
            </w:r>
          </w:p>
        </w:tc>
        <w:tc>
          <w:tcPr>
            <w:tcW w:type="dxa" w:w="1560"/>
          </w:tcPr>
          <w:p>
            <w:pPr>
              <w:jc w:val="center"/>
            </w:pPr>
            <w:r>
              <w:rPr>
                <w:rFonts w:ascii="Times New Roman" w:hAnsi="Times New Roman"/>
                <w:b/>
                <w:sz w:val="18"/>
              </w:rPr>
              <w:t>Equivalence margin</w:t>
            </w:r>
          </w:p>
        </w:tc>
        <w:tc>
          <w:tcPr>
            <w:tcW w:type="dxa" w:w="1560"/>
          </w:tcPr>
          <w:p>
            <w:pPr>
              <w:jc w:val="center"/>
            </w:pPr>
            <w:r>
              <w:rPr>
                <w:rFonts w:ascii="Times New Roman" w:hAnsi="Times New Roman"/>
                <w:b/>
                <w:sz w:val="18"/>
              </w:rPr>
              <w:t>Power if true null</w:t>
            </w:r>
          </w:p>
        </w:tc>
        <w:tc>
          <w:tcPr>
            <w:tcW w:type="dxa" w:w="1560"/>
          </w:tcPr>
          <w:p>
            <w:pPr>
              <w:jc w:val="center"/>
            </w:pPr>
            <w:r>
              <w:rPr>
                <w:rFonts w:ascii="Times New Roman" w:hAnsi="Times New Roman"/>
                <w:b/>
                <w:sz w:val="18"/>
              </w:rPr>
              <w:t>MDE (80% power)</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98.4%</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100.0%</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90.4%</w:t>
            </w:r>
          </w:p>
        </w:tc>
        <w:tc>
          <w:tcPr>
            <w:tcW w:type="dxa" w:w="1560"/>
          </w:tcPr>
          <w:p>
            <w:pPr>
              <w:jc w:val="center"/>
            </w:pPr>
            <w:r>
              <w:rPr>
                <w:rFonts w:ascii="Times New Roman" w:hAnsi="Times New Roman"/>
                <w:sz w:val="18"/>
              </w:rPr>
              <w:t>1.69%</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99.6%</w:t>
            </w:r>
          </w:p>
        </w:tc>
        <w:tc>
          <w:tcPr>
            <w:tcW w:type="dxa" w:w="1560"/>
          </w:tcPr>
          <w:p>
            <w:pPr>
              <w:jc w:val="center"/>
            </w:pPr>
            <w:r>
              <w:rPr>
                <w:rFonts w:ascii="Times New Roman" w:hAnsi="Times New Roman"/>
                <w:sz w:val="18"/>
              </w:rPr>
              <w:t>1.69%</w:t>
            </w:r>
          </w:p>
        </w:tc>
      </w:tr>
    </w:tbl>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benchmark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scenario are reported in Table 9; Figure 7 summarises the same information as marginal percentage changes. Litigation reduction is not a high-impact instrument for workforce allocation in this setting.</w:t>
      </w:r>
    </w:p>
    <w:p>
      <w:pPr>
        <w:spacing w:before="280" w:after="120"/>
      </w:pPr>
      <w:r>
        <w:rPr>
          <w:rFonts w:ascii="Times New Roman" w:hAnsi="Times New Roman"/>
          <w:b/>
          <w:sz w:val="20"/>
        </w:rPr>
        <w:t>Table 9. Counterfactual 2034 physician counts by specialty and policy instrument.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7. Counterfactual policy simulation: marginal 10-year change in physician counts by specialty relative to the projected baseline drift. The MDE benchmark is the minimum detectable per-SD effect from the primary analysis.</w:t>
      </w:r>
    </w:p>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Table 10 reports the counts by specialty.</w:t>
      </w:r>
    </w:p>
    <w:p>
      <w:pPr>
        <w:spacing w:before="280" w:after="120"/>
      </w:pPr>
      <w:r>
        <w:rPr>
          <w:rFonts w:ascii="Times New Roman" w:hAnsi="Times New Roman"/>
          <w:b/>
          <w:sz w:val="20"/>
        </w:rPr>
        <w:t>Table 10. Specialist-trainee coverage by specialty. Coverage is the number of 2018 first-year specialist trainees divided by the number of physicians reported 3-5 years after medical registration in 2014, by primary specialty.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2018 specialist trainees (senkoi)</w:t>
            </w:r>
          </w:p>
        </w:tc>
        <w:tc>
          <w:tcPr>
            <w:tcW w:type="dxa" w:w="1560"/>
          </w:tcPr>
          <w:p>
            <w:pPr>
              <w:jc w:val="center"/>
            </w:pPr>
            <w:r>
              <w:rPr>
                <w:rFonts w:ascii="Times New Roman" w:hAnsi="Times New Roman"/>
                <w:b/>
                <w:sz w:val="18"/>
              </w:rPr>
              <w:t>Physicians 3-5 yr after registration (2014)</w:t>
            </w:r>
          </w:p>
        </w:tc>
        <w:tc>
          <w:tcPr>
            <w:tcW w:type="dxa" w:w="1560"/>
          </w:tcPr>
          <w:p>
            <w:pPr>
              <w:jc w:val="center"/>
            </w:pPr>
            <w:r>
              <w:rPr>
                <w:rFonts w:ascii="Times New Roman" w:hAnsi="Times New Roman"/>
                <w:b/>
                <w:sz w:val="18"/>
              </w:rPr>
              <w:t>H24 cohort 3rd year (2012)</w:t>
            </w:r>
          </w:p>
        </w:tc>
        <w:tc>
          <w:tcPr>
            <w:tcW w:type="dxa" w:w="1560"/>
          </w:tcPr>
          <w:p>
            <w:pPr>
              <w:jc w:val="center"/>
            </w:pPr>
            <w:r>
              <w:rPr>
                <w:rFonts w:ascii="Times New Roman" w:hAnsi="Times New Roman"/>
                <w:b/>
                <w:sz w:val="18"/>
              </w:rPr>
              <w:t>H24 cohort 5th year (2014)</w:t>
            </w:r>
          </w:p>
        </w:tc>
        <w:tc>
          <w:tcPr>
            <w:tcW w:type="dxa" w:w="1560"/>
          </w:tcPr>
          <w:p>
            <w:pPr>
              <w:jc w:val="center"/>
            </w:pPr>
            <w:r>
              <w:rPr>
                <w:rFonts w:ascii="Times New Roman" w:hAnsi="Times New Roman"/>
                <w:b/>
                <w:sz w:val="18"/>
              </w:rPr>
              <w:t>Coverage</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2,670</w:t>
            </w:r>
          </w:p>
        </w:tc>
        <w:tc>
          <w:tcPr>
            <w:tcW w:type="dxa" w:w="1560"/>
          </w:tcPr>
          <w:p>
            <w:pPr>
              <w:jc w:val="center"/>
            </w:pPr>
            <w:r>
              <w:rPr>
                <w:rFonts w:ascii="Times New Roman" w:hAnsi="Times New Roman"/>
                <w:sz w:val="18"/>
              </w:rPr>
              <w:t>21,536</w:t>
            </w:r>
          </w:p>
        </w:tc>
        <w:tc>
          <w:tcPr>
            <w:tcW w:type="dxa" w:w="1560"/>
          </w:tcPr>
          <w:p>
            <w:pPr>
              <w:jc w:val="center"/>
            </w:pPr>
            <w:r>
              <w:rPr>
                <w:rFonts w:ascii="Times New Roman" w:hAnsi="Times New Roman"/>
                <w:sz w:val="18"/>
              </w:rPr>
              <w:t>2,630</w:t>
            </w:r>
          </w:p>
        </w:tc>
        <w:tc>
          <w:tcPr>
            <w:tcW w:type="dxa" w:w="1560"/>
          </w:tcPr>
          <w:p>
            <w:pPr>
              <w:jc w:val="center"/>
            </w:pPr>
            <w:r>
              <w:rPr>
                <w:rFonts w:ascii="Times New Roman" w:hAnsi="Times New Roman"/>
                <w:sz w:val="18"/>
              </w:rPr>
              <w:t>2,621</w:t>
            </w:r>
          </w:p>
        </w:tc>
        <w:tc>
          <w:tcPr>
            <w:tcW w:type="dxa" w:w="1560"/>
          </w:tcPr>
          <w:p>
            <w:pPr>
              <w:jc w:val="center"/>
            </w:pPr>
            <w:r>
              <w:rPr>
                <w:rFonts w:ascii="Times New Roman" w:hAnsi="Times New Roman"/>
                <w:sz w:val="18"/>
              </w:rPr>
              <w:t>12.4%</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805</w:t>
            </w:r>
          </w:p>
        </w:tc>
        <w:tc>
          <w:tcPr>
            <w:tcW w:type="dxa" w:w="1560"/>
          </w:tcPr>
          <w:p>
            <w:pPr>
              <w:jc w:val="center"/>
            </w:pPr>
            <w:r>
              <w:rPr>
                <w:rFonts w:ascii="Times New Roman" w:hAnsi="Times New Roman"/>
                <w:sz w:val="18"/>
              </w:rPr>
              <w:t>985</w:t>
            </w:r>
          </w:p>
        </w:tc>
        <w:tc>
          <w:tcPr>
            <w:tcW w:type="dxa" w:w="1560"/>
          </w:tcPr>
          <w:p>
            <w:pPr>
              <w:jc w:val="center"/>
            </w:pPr>
            <w:r>
              <w:rPr>
                <w:rFonts w:ascii="Times New Roman" w:hAnsi="Times New Roman"/>
                <w:sz w:val="18"/>
              </w:rPr>
              <w:t>735</w:t>
            </w:r>
          </w:p>
        </w:tc>
        <w:tc>
          <w:tcPr>
            <w:tcW w:type="dxa" w:w="1560"/>
          </w:tcPr>
          <w:p>
            <w:pPr>
              <w:jc w:val="center"/>
            </w:pPr>
            <w:r>
              <w:rPr>
                <w:rFonts w:ascii="Times New Roman" w:hAnsi="Times New Roman"/>
                <w:sz w:val="18"/>
              </w:rPr>
              <w:t>774</w:t>
            </w:r>
          </w:p>
        </w:tc>
        <w:tc>
          <w:tcPr>
            <w:tcW w:type="dxa" w:w="1560"/>
          </w:tcPr>
          <w:p>
            <w:pPr>
              <w:jc w:val="center"/>
            </w:pPr>
            <w:r>
              <w:rPr>
                <w:rFonts w:ascii="Times New Roman" w:hAnsi="Times New Roman"/>
                <w:sz w:val="18"/>
              </w:rPr>
              <w:t>81.7%</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552</w:t>
            </w:r>
          </w:p>
        </w:tc>
        <w:tc>
          <w:tcPr>
            <w:tcW w:type="dxa" w:w="1560"/>
          </w:tcPr>
          <w:p>
            <w:pPr>
              <w:jc w:val="center"/>
            </w:pPr>
            <w:r>
              <w:rPr>
                <w:rFonts w:ascii="Times New Roman" w:hAnsi="Times New Roman"/>
                <w:sz w:val="18"/>
              </w:rPr>
              <w:t>2,291</w:t>
            </w:r>
          </w:p>
        </w:tc>
        <w:tc>
          <w:tcPr>
            <w:tcW w:type="dxa" w:w="1560"/>
          </w:tcPr>
          <w:p>
            <w:pPr>
              <w:jc w:val="center"/>
            </w:pPr>
            <w:r>
              <w:rPr>
                <w:rFonts w:ascii="Times New Roman" w:hAnsi="Times New Roman"/>
                <w:sz w:val="18"/>
              </w:rPr>
              <w:t>457</w:t>
            </w:r>
          </w:p>
        </w:tc>
        <w:tc>
          <w:tcPr>
            <w:tcW w:type="dxa" w:w="1560"/>
          </w:tcPr>
          <w:p>
            <w:pPr>
              <w:jc w:val="center"/>
            </w:pPr>
            <w:r>
              <w:rPr>
                <w:rFonts w:ascii="Times New Roman" w:hAnsi="Times New Roman"/>
                <w:sz w:val="18"/>
              </w:rPr>
              <w:t>472</w:t>
            </w:r>
          </w:p>
        </w:tc>
        <w:tc>
          <w:tcPr>
            <w:tcW w:type="dxa" w:w="1560"/>
          </w:tcPr>
          <w:p>
            <w:pPr>
              <w:jc w:val="center"/>
            </w:pPr>
            <w:r>
              <w:rPr>
                <w:rFonts w:ascii="Times New Roman" w:hAnsi="Times New Roman"/>
                <w:sz w:val="18"/>
              </w:rPr>
              <w:t>24.1%</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163</w:t>
            </w:r>
          </w:p>
        </w:tc>
        <w:tc>
          <w:tcPr>
            <w:tcW w:type="dxa" w:w="1560"/>
          </w:tcPr>
          <w:p>
            <w:pPr>
              <w:jc w:val="center"/>
            </w:pPr>
            <w:r>
              <w:rPr>
                <w:rFonts w:ascii="Times New Roman" w:hAnsi="Times New Roman"/>
                <w:sz w:val="18"/>
              </w:rPr>
              <w:t>317</w:t>
            </w:r>
          </w:p>
        </w:tc>
        <w:tc>
          <w:tcPr>
            <w:tcW w:type="dxa" w:w="1560"/>
          </w:tcPr>
          <w:p>
            <w:pPr>
              <w:jc w:val="center"/>
            </w:pPr>
            <w:r>
              <w:rPr>
                <w:rFonts w:ascii="Times New Roman" w:hAnsi="Times New Roman"/>
                <w:sz w:val="18"/>
              </w:rPr>
              <w:t>144</w:t>
            </w:r>
          </w:p>
        </w:tc>
        <w:tc>
          <w:tcPr>
            <w:tcW w:type="dxa" w:w="1560"/>
          </w:tcPr>
          <w:p>
            <w:pPr>
              <w:jc w:val="center"/>
            </w:pPr>
            <w:r>
              <w:rPr>
                <w:rFonts w:ascii="Times New Roman" w:hAnsi="Times New Roman"/>
                <w:sz w:val="18"/>
              </w:rPr>
              <w:t>148</w:t>
            </w:r>
          </w:p>
        </w:tc>
        <w:tc>
          <w:tcPr>
            <w:tcW w:type="dxa" w:w="1560"/>
          </w:tcPr>
          <w:p>
            <w:pPr>
              <w:jc w:val="center"/>
            </w:pPr>
            <w:r>
              <w:rPr>
                <w:rFonts w:ascii="Times New Roman" w:hAnsi="Times New Roman"/>
                <w:sz w:val="18"/>
              </w:rPr>
              <w:t>51.4%</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1,383</w:t>
            </w:r>
          </w:p>
        </w:tc>
        <w:tc>
          <w:tcPr>
            <w:tcW w:type="dxa" w:w="1560"/>
          </w:tcPr>
          <w:p>
            <w:pPr>
              <w:jc w:val="center"/>
            </w:pPr>
            <w:r>
              <w:rPr>
                <w:rFonts w:ascii="Times New Roman" w:hAnsi="Times New Roman"/>
                <w:sz w:val="18"/>
              </w:rPr>
              <w:t>327</w:t>
            </w:r>
          </w:p>
        </w:tc>
        <w:tc>
          <w:tcPr>
            <w:tcW w:type="dxa" w:w="1560"/>
          </w:tcPr>
          <w:p>
            <w:pPr>
              <w:jc w:val="center"/>
            </w:pPr>
            <w:r>
              <w:rPr>
                <w:rFonts w:ascii="Times New Roman" w:hAnsi="Times New Roman"/>
                <w:sz w:val="18"/>
              </w:rPr>
              <w:t>342</w:t>
            </w:r>
          </w:p>
        </w:tc>
        <w:tc>
          <w:tcPr>
            <w:tcW w:type="dxa" w:w="1560"/>
          </w:tcPr>
          <w:p>
            <w:pPr>
              <w:jc w:val="center"/>
            </w:pPr>
            <w:r>
              <w:rPr>
                <w:rFonts w:ascii="Times New Roman" w:hAnsi="Times New Roman"/>
                <w:sz w:val="18"/>
              </w:rPr>
              <w:t>31.9%</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573</w:t>
            </w:r>
          </w:p>
        </w:tc>
        <w:tc>
          <w:tcPr>
            <w:tcW w:type="dxa" w:w="1560"/>
          </w:tcPr>
          <w:p>
            <w:pPr>
              <w:jc w:val="center"/>
            </w:pPr>
            <w:r>
              <w:rPr>
                <w:rFonts w:ascii="Times New Roman" w:hAnsi="Times New Roman"/>
                <w:sz w:val="18"/>
              </w:rPr>
              <w:t>7,950</w:t>
            </w:r>
          </w:p>
        </w:tc>
        <w:tc>
          <w:tcPr>
            <w:tcW w:type="dxa" w:w="1560"/>
          </w:tcPr>
          <w:p>
            <w:pPr>
              <w:jc w:val="center"/>
            </w:pPr>
            <w:r>
              <w:rPr>
                <w:rFonts w:ascii="Times New Roman" w:hAnsi="Times New Roman"/>
                <w:sz w:val="18"/>
              </w:rPr>
              <w:t>447</w:t>
            </w:r>
          </w:p>
        </w:tc>
        <w:tc>
          <w:tcPr>
            <w:tcW w:type="dxa" w:w="1560"/>
          </w:tcPr>
          <w:p>
            <w:pPr>
              <w:jc w:val="center"/>
            </w:pPr>
            <w:r>
              <w:rPr>
                <w:rFonts w:ascii="Times New Roman" w:hAnsi="Times New Roman"/>
                <w:sz w:val="18"/>
              </w:rPr>
              <w:t>433</w:t>
            </w:r>
          </w:p>
        </w:tc>
        <w:tc>
          <w:tcPr>
            <w:tcW w:type="dxa" w:w="1560"/>
          </w:tcPr>
          <w:p>
            <w:pPr>
              <w:jc w:val="center"/>
            </w:pPr>
            <w:r>
              <w:rPr>
                <w:rFonts w:ascii="Times New Roman" w:hAnsi="Times New Roman"/>
                <w:sz w:val="18"/>
              </w:rPr>
              <w:t>7.2%</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637</w:t>
            </w:r>
          </w:p>
        </w:tc>
        <w:tc>
          <w:tcPr>
            <w:tcW w:type="dxa" w:w="1560"/>
          </w:tcPr>
          <w:p>
            <w:pPr>
              <w:jc w:val="center"/>
            </w:pPr>
            <w:r>
              <w:rPr>
                <w:rFonts w:ascii="Times New Roman" w:hAnsi="Times New Roman"/>
                <w:sz w:val="18"/>
              </w:rPr>
              <w:t>314</w:t>
            </w:r>
          </w:p>
        </w:tc>
        <w:tc>
          <w:tcPr>
            <w:tcW w:type="dxa" w:w="1560"/>
          </w:tcPr>
          <w:p>
            <w:pPr>
              <w:jc w:val="center"/>
            </w:pPr>
            <w:r>
              <w:rPr>
                <w:rFonts w:ascii="Times New Roman" w:hAnsi="Times New Roman"/>
                <w:sz w:val="18"/>
              </w:rPr>
              <w:t>354</w:t>
            </w:r>
          </w:p>
        </w:tc>
        <w:tc>
          <w:tcPr>
            <w:tcW w:type="dxa" w:w="1560"/>
          </w:tcPr>
          <w:p>
            <w:pPr>
              <w:jc w:val="center"/>
            </w:pPr>
            <w:r>
              <w:rPr>
                <w:rFonts w:ascii="Times New Roman" w:hAnsi="Times New Roman"/>
                <w:sz w:val="18"/>
              </w:rPr>
              <w:t>69.2%</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328</w:t>
            </w:r>
          </w:p>
        </w:tc>
        <w:tc>
          <w:tcPr>
            <w:tcW w:type="dxa" w:w="1560"/>
          </w:tcPr>
          <w:p>
            <w:pPr>
              <w:jc w:val="center"/>
            </w:pPr>
            <w:r>
              <w:rPr>
                <w:rFonts w:ascii="Times New Roman" w:hAnsi="Times New Roman"/>
                <w:sz w:val="18"/>
              </w:rPr>
              <w:t>1,051</w:t>
            </w:r>
          </w:p>
        </w:tc>
        <w:tc>
          <w:tcPr>
            <w:tcW w:type="dxa" w:w="1560"/>
          </w:tcPr>
          <w:p>
            <w:pPr>
              <w:jc w:val="center"/>
            </w:pPr>
            <w:r>
              <w:rPr>
                <w:rFonts w:ascii="Times New Roman" w:hAnsi="Times New Roman"/>
                <w:sz w:val="18"/>
              </w:rPr>
              <w:t>211</w:t>
            </w:r>
          </w:p>
        </w:tc>
        <w:tc>
          <w:tcPr>
            <w:tcW w:type="dxa" w:w="1560"/>
          </w:tcPr>
          <w:p>
            <w:pPr>
              <w:jc w:val="center"/>
            </w:pPr>
            <w:r>
              <w:rPr>
                <w:rFonts w:ascii="Times New Roman" w:hAnsi="Times New Roman"/>
                <w:sz w:val="18"/>
              </w:rPr>
              <w:t>213</w:t>
            </w:r>
          </w:p>
        </w:tc>
        <w:tc>
          <w:tcPr>
            <w:tcW w:type="dxa" w:w="1560"/>
          </w:tcPr>
          <w:p>
            <w:pPr>
              <w:jc w:val="center"/>
            </w:pPr>
            <w:r>
              <w:rPr>
                <w:rFonts w:ascii="Times New Roman" w:hAnsi="Times New Roman"/>
                <w:sz w:val="18"/>
              </w:rPr>
              <w:t>31.2%</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267</w:t>
            </w:r>
          </w:p>
        </w:tc>
        <w:tc>
          <w:tcPr>
            <w:tcW w:type="dxa" w:w="1560"/>
          </w:tcPr>
          <w:p>
            <w:pPr>
              <w:jc w:val="center"/>
            </w:pPr>
            <w:r>
              <w:rPr>
                <w:rFonts w:ascii="Times New Roman" w:hAnsi="Times New Roman"/>
                <w:sz w:val="18"/>
              </w:rPr>
              <w:t>617</w:t>
            </w:r>
          </w:p>
        </w:tc>
        <w:tc>
          <w:tcPr>
            <w:tcW w:type="dxa" w:w="1560"/>
          </w:tcPr>
          <w:p>
            <w:pPr>
              <w:jc w:val="center"/>
            </w:pPr>
            <w:r>
              <w:rPr>
                <w:rFonts w:ascii="Times New Roman" w:hAnsi="Times New Roman"/>
                <w:sz w:val="18"/>
              </w:rPr>
              <w:t>195</w:t>
            </w:r>
          </w:p>
        </w:tc>
        <w:tc>
          <w:tcPr>
            <w:tcW w:type="dxa" w:w="1560"/>
          </w:tcPr>
          <w:p>
            <w:pPr>
              <w:jc w:val="center"/>
            </w:pPr>
            <w:r>
              <w:rPr>
                <w:rFonts w:ascii="Times New Roman" w:hAnsi="Times New Roman"/>
                <w:sz w:val="18"/>
              </w:rPr>
              <w:t>193</w:t>
            </w:r>
          </w:p>
        </w:tc>
        <w:tc>
          <w:tcPr>
            <w:tcW w:type="dxa" w:w="1560"/>
          </w:tcPr>
          <w:p>
            <w:pPr>
              <w:jc w:val="center"/>
            </w:pPr>
            <w:r>
              <w:rPr>
                <w:rFonts w:ascii="Times New Roman" w:hAnsi="Times New Roman"/>
                <w:sz w:val="18"/>
              </w:rPr>
              <w:t>43.3%</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274</w:t>
            </w:r>
          </w:p>
        </w:tc>
        <w:tc>
          <w:tcPr>
            <w:tcW w:type="dxa" w:w="1560"/>
          </w:tcPr>
          <w:p>
            <w:pPr>
              <w:jc w:val="center"/>
            </w:pPr>
            <w:r>
              <w:rPr>
                <w:rFonts w:ascii="Times New Roman" w:hAnsi="Times New Roman"/>
                <w:sz w:val="18"/>
              </w:rPr>
              <w:t>568</w:t>
            </w:r>
          </w:p>
        </w:tc>
        <w:tc>
          <w:tcPr>
            <w:tcW w:type="dxa" w:w="1560"/>
          </w:tcPr>
          <w:p>
            <w:pPr>
              <w:jc w:val="center"/>
            </w:pPr>
            <w:r>
              <w:rPr>
                <w:rFonts w:ascii="Times New Roman" w:hAnsi="Times New Roman"/>
                <w:sz w:val="18"/>
              </w:rPr>
              <w:t>206</w:t>
            </w:r>
          </w:p>
        </w:tc>
        <w:tc>
          <w:tcPr>
            <w:tcW w:type="dxa" w:w="1560"/>
          </w:tcPr>
          <w:p>
            <w:pPr>
              <w:jc w:val="center"/>
            </w:pPr>
            <w:r>
              <w:rPr>
                <w:rFonts w:ascii="Times New Roman" w:hAnsi="Times New Roman"/>
                <w:sz w:val="18"/>
              </w:rPr>
              <w:t>194</w:t>
            </w:r>
          </w:p>
        </w:tc>
        <w:tc>
          <w:tcPr>
            <w:tcW w:type="dxa" w:w="1560"/>
          </w:tcPr>
          <w:p>
            <w:pPr>
              <w:jc w:val="center"/>
            </w:pPr>
            <w:r>
              <w:rPr>
                <w:rFonts w:ascii="Times New Roman" w:hAnsi="Times New Roman"/>
                <w:sz w:val="18"/>
              </w:rPr>
              <w:t>48.2%</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271</w:t>
            </w:r>
          </w:p>
        </w:tc>
        <w:tc>
          <w:tcPr>
            <w:tcW w:type="dxa" w:w="1560"/>
          </w:tcPr>
          <w:p>
            <w:pPr>
              <w:jc w:val="center"/>
            </w:pPr>
            <w:r>
              <w:rPr>
                <w:rFonts w:ascii="Times New Roman" w:hAnsi="Times New Roman"/>
                <w:sz w:val="18"/>
              </w:rPr>
              <w:t>1,405</w:t>
            </w:r>
          </w:p>
        </w:tc>
        <w:tc>
          <w:tcPr>
            <w:tcW w:type="dxa" w:w="1560"/>
          </w:tcPr>
          <w:p>
            <w:pPr>
              <w:jc w:val="center"/>
            </w:pPr>
            <w:r>
              <w:rPr>
                <w:rFonts w:ascii="Times New Roman" w:hAnsi="Times New Roman"/>
                <w:sz w:val="18"/>
              </w:rPr>
              <w:t>228</w:t>
            </w:r>
          </w:p>
        </w:tc>
        <w:tc>
          <w:tcPr>
            <w:tcW w:type="dxa" w:w="1560"/>
          </w:tcPr>
          <w:p>
            <w:pPr>
              <w:jc w:val="center"/>
            </w:pPr>
            <w:r>
              <w:rPr>
                <w:rFonts w:ascii="Times New Roman" w:hAnsi="Times New Roman"/>
                <w:sz w:val="18"/>
              </w:rPr>
              <w:t>210</w:t>
            </w:r>
          </w:p>
        </w:tc>
        <w:tc>
          <w:tcPr>
            <w:tcW w:type="dxa" w:w="1560"/>
          </w:tcPr>
          <w:p>
            <w:pPr>
              <w:jc w:val="center"/>
            </w:pPr>
            <w:r>
              <w:rPr>
                <w:rFonts w:ascii="Times New Roman" w:hAnsi="Times New Roman"/>
                <w:sz w:val="18"/>
              </w:rPr>
              <w:t>19.3%</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495</w:t>
            </w:r>
          </w:p>
        </w:tc>
        <w:tc>
          <w:tcPr>
            <w:tcW w:type="dxa" w:w="1560"/>
          </w:tcPr>
          <w:p>
            <w:pPr>
              <w:jc w:val="center"/>
            </w:pPr>
            <w:r>
              <w:rPr>
                <w:rFonts w:ascii="Times New Roman" w:hAnsi="Times New Roman"/>
                <w:sz w:val="18"/>
              </w:rPr>
              <w:t>1,091</w:t>
            </w:r>
          </w:p>
        </w:tc>
        <w:tc>
          <w:tcPr>
            <w:tcW w:type="dxa" w:w="1560"/>
          </w:tcPr>
          <w:p>
            <w:pPr>
              <w:jc w:val="center"/>
            </w:pPr>
            <w:r>
              <w:rPr>
                <w:rFonts w:ascii="Times New Roman" w:hAnsi="Times New Roman"/>
                <w:sz w:val="18"/>
              </w:rPr>
              <w:t>378</w:t>
            </w:r>
          </w:p>
        </w:tc>
        <w:tc>
          <w:tcPr>
            <w:tcW w:type="dxa" w:w="1560"/>
          </w:tcPr>
          <w:p>
            <w:pPr>
              <w:jc w:val="center"/>
            </w:pPr>
            <w:r>
              <w:rPr>
                <w:rFonts w:ascii="Times New Roman" w:hAnsi="Times New Roman"/>
                <w:sz w:val="18"/>
              </w:rPr>
              <w:t>385</w:t>
            </w:r>
          </w:p>
        </w:tc>
        <w:tc>
          <w:tcPr>
            <w:tcW w:type="dxa" w:w="1560"/>
          </w:tcPr>
          <w:p>
            <w:pPr>
              <w:jc w:val="center"/>
            </w:pPr>
            <w:r>
              <w:rPr>
                <w:rFonts w:ascii="Times New Roman" w:hAnsi="Times New Roman"/>
                <w:sz w:val="18"/>
              </w:rPr>
              <w:t>45.4%</w:t>
            </w:r>
          </w:p>
        </w:tc>
      </w:tr>
    </w:tbl>
    <w:p/>
    <w:p>
      <w:pPr>
        <w:pStyle w:val="Heading2"/>
      </w:pPr>
      <w:r>
        <w:rPr>
          <w:rFonts w:ascii="Times New Roman" w:hAnsi="Times New Roman"/>
          <w:color w:val="000000"/>
        </w:rPr>
        <w:t>Heterogeneity and trend sensitivity</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trend-stability checks suggest that a negative litigation effect is hiding in a clinically exposed subgroup (Table 11).</w:t>
      </w:r>
    </w:p>
    <w:p>
      <w:pPr>
        <w:spacing w:before="280" w:after="120"/>
      </w:pPr>
      <w:r>
        <w:rPr>
          <w:rFonts w:ascii="Times New Roman" w:hAnsi="Times New Roman"/>
          <w:b/>
          <w:sz w:val="20"/>
        </w:rPr>
        <w:t>Table 11. Heterogeneity and trend-stability checks. High-litigation and surgical models include an interaction between the lagged litigation rate and a binary group indicator (the main effect of the group is absorbed by specialty fixed effects). The trend-stability model adds specialty-specific linear time trends.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Outcome</w:t>
            </w:r>
          </w:p>
        </w:tc>
        <w:tc>
          <w:tcPr>
            <w:tcW w:type="dxa" w:w="1337"/>
          </w:tcPr>
          <w:p>
            <w:pPr>
              <w:jc w:val="center"/>
            </w:pPr>
            <w:r>
              <w:rPr>
                <w:rFonts w:ascii="Times New Roman" w:hAnsi="Times New Roman"/>
                <w:b/>
                <w:sz w:val="18"/>
              </w:rPr>
              <w:t>Group / check</w:t>
            </w:r>
          </w:p>
        </w:tc>
        <w:tc>
          <w:tcPr>
            <w:tcW w:type="dxa" w:w="1337"/>
          </w:tcPr>
          <w:p>
            <w:pPr>
              <w:jc w:val="center"/>
            </w:pPr>
            <w:r>
              <w:rPr>
                <w:rFonts w:ascii="Times New Roman" w:hAnsi="Times New Roman"/>
                <w:b/>
                <w:sz w:val="18"/>
              </w:rPr>
              <w:t>Main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Interaction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n</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+0.0098 (+0.0084)</w:t>
            </w:r>
          </w:p>
        </w:tc>
        <w:tc>
          <w:tcPr>
            <w:tcW w:type="dxa" w:w="1337"/>
          </w:tcPr>
          <w:p>
            <w:pPr>
              <w:jc w:val="center"/>
            </w:pPr>
            <w:r>
              <w:rPr>
                <w:rFonts w:ascii="Times New Roman" w:hAnsi="Times New Roman"/>
                <w:sz w:val="18"/>
              </w:rPr>
              <w:t>0.27</w:t>
            </w:r>
          </w:p>
        </w:tc>
        <w:tc>
          <w:tcPr>
            <w:tcW w:type="dxa" w:w="1337"/>
          </w:tcPr>
          <w:p>
            <w:pPr>
              <w:jc w:val="center"/>
            </w:pPr>
            <w:r>
              <w:rPr>
                <w:rFonts w:ascii="Times New Roman" w:hAnsi="Times New Roman"/>
                <w:sz w:val="18"/>
              </w:rPr>
              <w:t>-0.0119 (+0.0096)</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-0.0045 (+0.0037)</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+0.0057 (+0.0064)</w:t>
            </w:r>
          </w:p>
        </w:tc>
        <w:tc>
          <w:tcPr>
            <w:tcW w:type="dxa" w:w="1337"/>
          </w:tcPr>
          <w:p>
            <w:pPr>
              <w:jc w:val="center"/>
            </w:pPr>
            <w:r>
              <w:rPr>
                <w:rFonts w:ascii="Times New Roman" w:hAnsi="Times New Roman"/>
                <w:sz w:val="18"/>
              </w:rPr>
              <w:t>0.39</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-0.0001 (+0.0034)</w:t>
            </w:r>
          </w:p>
        </w:tc>
        <w:tc>
          <w:tcPr>
            <w:tcW w:type="dxa" w:w="1337"/>
          </w:tcPr>
          <w:p>
            <w:pPr>
              <w:jc w:val="center"/>
            </w:pPr>
            <w:r>
              <w:rPr>
                <w:rFonts w:ascii="Times New Roman" w:hAnsi="Times New Roman"/>
                <w:sz w:val="18"/>
              </w:rPr>
              <w:t>0.99</w:t>
            </w:r>
          </w:p>
        </w:tc>
        <w:tc>
          <w:tcPr>
            <w:tcW w:type="dxa" w:w="1337"/>
          </w:tcPr>
          <w:p>
            <w:pPr>
              <w:jc w:val="center"/>
            </w:pPr>
            <w:r>
              <w:rPr>
                <w:rFonts w:ascii="Times New Roman" w:hAnsi="Times New Roman"/>
                <w:sz w:val="18"/>
              </w:rPr>
              <w:t>+0.0004 (+0.0043)</w:t>
            </w:r>
          </w:p>
        </w:tc>
        <w:tc>
          <w:tcPr>
            <w:tcW w:type="dxa" w:w="1337"/>
          </w:tcPr>
          <w:p>
            <w:pPr>
              <w:jc w:val="center"/>
            </w:pPr>
            <w:r>
              <w:rPr>
                <w:rFonts w:ascii="Times New Roman" w:hAnsi="Times New Roman"/>
                <w:sz w:val="18"/>
              </w:rPr>
              <w:t>0.93</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+0.0044 (+0.0027)</w:t>
            </w:r>
          </w:p>
        </w:tc>
        <w:tc>
          <w:tcPr>
            <w:tcW w:type="dxa" w:w="1337"/>
          </w:tcPr>
          <w:p>
            <w:pPr>
              <w:jc w:val="center"/>
            </w:pPr>
            <w:r>
              <w:rPr>
                <w:rFonts w:ascii="Times New Roman" w:hAnsi="Times New Roman"/>
                <w:sz w:val="18"/>
              </w:rPr>
              <w:t>0.12</w:t>
            </w:r>
          </w:p>
        </w:tc>
        <w:tc>
          <w:tcPr>
            <w:tcW w:type="dxa" w:w="1337"/>
          </w:tcPr>
          <w:p>
            <w:pPr>
              <w:jc w:val="center"/>
            </w:pPr>
            <w:r>
              <w:rPr>
                <w:rFonts w:ascii="Times New Roman" w:hAnsi="Times New Roman"/>
                <w:sz w:val="18"/>
              </w:rPr>
              <w:t>-0.0066 (+0.0032)</w:t>
            </w:r>
          </w:p>
        </w:tc>
        <w:tc>
          <w:tcPr>
            <w:tcW w:type="dxa" w:w="1337"/>
          </w:tcPr>
          <w:p>
            <w:pPr>
              <w:jc w:val="center"/>
            </w:pPr>
            <w:r>
              <w:rPr>
                <w:rFonts w:ascii="Times New Roman" w:hAnsi="Times New Roman"/>
                <w:sz w:val="18"/>
              </w:rPr>
              <w:t>0.06</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+0.0010 (+0.0028)</w:t>
            </w:r>
          </w:p>
        </w:tc>
        <w:tc>
          <w:tcPr>
            <w:tcW w:type="dxa" w:w="1337"/>
          </w:tcPr>
          <w:p>
            <w:pPr>
              <w:jc w:val="center"/>
            </w:pPr>
            <w:r>
              <w:rPr>
                <w:rFonts w:ascii="Times New Roman" w:hAnsi="Times New Roman"/>
                <w:sz w:val="18"/>
              </w:rPr>
              <w:t>0.73</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+0.0027 (+0.0016)</w:t>
            </w:r>
          </w:p>
        </w:tc>
        <w:tc>
          <w:tcPr>
            <w:tcW w:type="dxa" w:w="1337"/>
          </w:tcPr>
          <w:p>
            <w:pPr>
              <w:jc w:val="center"/>
            </w:pPr>
            <w:r>
              <w:rPr>
                <w:rFonts w:ascii="Times New Roman" w:hAnsi="Times New Roman"/>
                <w:sz w:val="18"/>
              </w:rPr>
              <w:t>0.11</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bl>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facility-count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tool.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consistency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tools.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5).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tool for correcting specialty maldistribution. The 10-year counterfactual showed that eliminating all claims would add only 1.1% to the projected national physician stock under the point estimate, and 5.2% under the most favourable 95% lower-bound coefficient. A generic benchmark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weak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tools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behavioural lesson is that policymakers should redesign the choice architecture -- payment, training slots and compensation rules -- rather than expect litigation-avoidance messaging to drive career decisions. Our null result is evidence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behavioural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Table 8. Because clusters are defined by the 12 specialties, the small-cluster correction uses G-1=11 degrees of freedom; this is the minimum at which cluster-level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tool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tools. More generally, the results caution against treating highly salient risks as reliable policy tools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Japan Council for Quality Health Care (JOCS-CP) (2009), </w:t>
      </w:r>
      <w:r>
        <w:rPr>
          <w:rFonts w:ascii="Times New Roman" w:hAnsi="Times New Roman"/>
          <w:b w:val="0"/>
          <w:i/>
          <w:sz w:val="20"/>
        </w:rPr>
        <w:t>Japan Obstetric Compensation System for Cerebral Palsy</w:t>
      </w:r>
      <w:r>
        <w:rPr>
          <w:rFonts w:ascii="Times New Roman" w:hAnsi="Times New Roman"/>
          <w:b w:val="0"/>
          <w:i w:val="0"/>
          <w:sz w:val="20"/>
        </w:rPr>
        <w:t>. Tokyo: Japan Council for Quality Health Care.</w:t>
      </w:r>
    </w:p>
    <w:p>
      <w:pPr>
        <w:spacing w:line="360" w:lineRule="auto"/>
      </w:pPr>
      <w:r>
        <w:rPr>
          <w:rFonts w:ascii="Times New Roman" w:hAnsi="Times New Roman"/>
          <w:b w:val="0"/>
          <w:i w:val="0"/>
          <w:sz w:val="20"/>
        </w:rPr>
        <w:t xml:space="preserve">Japan Medical Safety Research Organisation (JMSR) (2025), </w:t>
      </w:r>
      <w:r>
        <w:rPr>
          <w:rFonts w:ascii="Times New Roman" w:hAnsi="Times New Roman"/>
          <w:b w:val="0"/>
          <w:i/>
          <w:sz w:val="20"/>
        </w:rPr>
        <w:t>Annual reports of medical accident investigations (2015-2024)</w:t>
      </w:r>
      <w:r>
        <w:rPr>
          <w:rFonts w:ascii="Times New Roman" w:hAnsi="Times New Roman"/>
          <w:b w:val="0"/>
          <w:i w:val="0"/>
          <w:sz w:val="20"/>
        </w:rPr>
        <w:t>. Tokyo: JMSR.</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Tokyo: Ministry of Health, Labour and Welfare.</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xml:space="preserve"> New York: The Commonwealth Fund.</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xml:space="preserve"> Tokyo: MHLW.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xml:space="preserve"> Tokyo: MHLW.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xml:space="preserve"> Tokyo: MHLW.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xml:space="preserve"> Tokyo: MHLW.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Tokyo: Nikkei Inc.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xml:space="preserve"> Tokyo: Supreme Court of Japan.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370(9596): 1453-1457.</w:t>
      </w:r>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