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Litigation risk and specialty-level physician and hospital supply in Japan, 2008–2024: a rate-based analysis with equivalence testing</w:t>
      </w:r>
    </w:p>
    <w:p>
      <w:pPr>
        <w:jc w:val="center"/>
      </w:pPr>
      <w:r>
        <w:rPr>
          <w:rFonts w:ascii="Times New Roman" w:hAnsi="Times New Roman"/>
          <w:sz w:val="24"/>
        </w:rPr>
        <w:t>Authors: Tatsuki Onishi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Tatsuki Onishi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address: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Acknowledgements: none</w:t>
      </w:r>
    </w:p>
    <w:p>
      <w:pPr>
        <w:jc w:val="center"/>
      </w:pPr>
      <w:r>
        <w:rPr>
          <w:rFonts w:ascii="Times New Roman" w:hAnsi="Times New Roman"/>
          <w:sz w:val="24"/>
        </w:rPr>
        <w:t>Word count (main text, including Research in context): approximately 3124 words (excluding abstract, references, declarations, tables and figure legends)</w:t>
      </w:r>
    </w:p>
    <w:p>
      <w:pPr>
        <w:jc w:val="center"/>
      </w:pPr>
      <w:r>
        <w:rPr>
          <w:rFonts w:ascii="Times New Roman" w:hAnsi="Times New Roman"/>
          <w:sz w:val="24"/>
        </w:rPr>
        <w:t>Article type: Full-length article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2  Supplementary tables: 4  Supplementary figures: 2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Declaration of generative AI use: Generative AI and AI-assisted technologies were used to assist with coding, data analysis, figure generation, and manuscript drafting; the authors verified all outputs.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repository.</w:t>
      </w:r>
    </w:p>
    <w:p>
      <w:pPr>
        <w:jc w:val="center"/>
      </w:pPr>
      <w:r>
        <w:rPr>
          <w:rFonts w:ascii="Times New Roman" w:hAnsi="Times New Roman"/>
          <w:sz w:val="24"/>
        </w:rPr>
        <w:t>CRediT author contribution statement: Tatsuki Onishi conceptualised the study, collected and curated data, performed the formal analysis, wrote the original draft, and approved the final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