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Figure legends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0"/>
        </w:rPr>
        <w:t>Figure 1. Equivalence (TOST) of the litigation-rate effect against ±1% and ±2% margins; horizontal bars are 90% confidence intervals.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0"/>
        </w:rPr>
        <w:t>Figure 2. Biennial physician growth against lagged litigation exposure measured as (a) counts and (b) rates.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