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6"/>
        </w:rPr>
        <w:t>Highlights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Litigation is widely assumed to drive physicians from high-risk specialties.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Using rate-based panel data for 12 Japanese specialties, we find no such association.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Equivalence testing supports a null effect within policy-relevant margins.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A no-fault obstetric compensation scheme coincided with obstetric hospital growth.</w:t>
      </w:r>
    </w:p>
    <w:p>
      <w:pPr>
        <w:pStyle w:val="ListBullet"/>
        <w:spacing w:line="360" w:lineRule="auto" w:after="80"/>
      </w:pPr>
      <w:r>
        <w:rPr>
          <w:rFonts w:ascii="Times New Roman" w:hAnsi="Times New Roman"/>
          <w:sz w:val="24"/>
        </w:rPr>
        <w:t>Policy should target structural incentives, not litigation-avoidance messaging.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