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Times New Roman" w:hAnsi="Times New Roman"/>
          <w:b/>
          <w:sz w:val="30"/>
        </w:rPr>
        <w:t>Litigation risk and specialty-level physician and hospital supply in Japan, 2008–2024: a rate-based analysis with equivalence testing</w:t>
      </w:r>
    </w:p>
    <w:p>
      <w:pPr>
        <w:jc w:val="center"/>
      </w:pPr>
      <w:r>
        <w:rPr>
          <w:rFonts w:ascii="Times New Roman" w:hAnsi="Times New Roman"/>
          <w:sz w:val="24"/>
        </w:rPr>
        <w:t>Authors: Tatsuki Onishi</w:t>
      </w:r>
    </w:p>
    <w:p>
      <w:pPr>
        <w:jc w:val="center"/>
      </w:pPr>
      <w:r>
        <w:rPr>
          <w:rFonts w:ascii="Times New Roman" w:hAnsi="Times New Roman"/>
          <w:sz w:val="24"/>
        </w:rPr>
        <w:t>Affiliation: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author: Tatsuki Onishi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address: Data Science AI Innovation Research Promotion Center, Shiga University, 1-1-1 Bamba, Hikone, Shiga 522-8522, Japan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email: [corresponding author email]</w:t>
      </w:r>
    </w:p>
    <w:p>
      <w:pPr>
        <w:jc w:val="center"/>
      </w:pPr>
      <w:r>
        <w:rPr>
          <w:rFonts w:ascii="Times New Roman" w:hAnsi="Times New Roman"/>
          <w:sz w:val="24"/>
        </w:rPr>
        <w:t>Corresponding author telephone/fax: [telephone] / [fax]</w:t>
      </w:r>
    </w:p>
    <w:p>
      <w:pPr>
        <w:jc w:val="center"/>
      </w:pPr>
      <w:r>
        <w:rPr>
          <w:rFonts w:ascii="Times New Roman" w:hAnsi="Times New Roman"/>
          <w:sz w:val="24"/>
        </w:rPr>
        <w:t>Running title: Litigation risk and physician supply</w:t>
      </w:r>
    </w:p>
    <w:p>
      <w:pPr>
        <w:jc w:val="center"/>
      </w:pPr>
      <w:r>
        <w:rPr>
          <w:rFonts w:ascii="Times New Roman" w:hAnsi="Times New Roman"/>
          <w:sz w:val="24"/>
        </w:rPr>
        <w:t>Keywords: malpractice litigation; physician workforce; specialty maldistribution; equivalence testing; health policy; Japan</w:t>
      </w:r>
    </w:p>
    <w:p>
      <w:pPr>
        <w:jc w:val="center"/>
      </w:pPr>
      <w:r>
        <w:rPr>
          <w:rFonts w:ascii="Times New Roman" w:hAnsi="Times New Roman"/>
          <w:sz w:val="24"/>
        </w:rPr>
        <w:t>Acknowledgements: none</w:t>
      </w:r>
    </w:p>
    <w:p>
      <w:pPr>
        <w:jc w:val="center"/>
      </w:pPr>
      <w:r>
        <w:rPr>
          <w:rFonts w:ascii="Times New Roman" w:hAnsi="Times New Roman"/>
          <w:sz w:val="24"/>
        </w:rPr>
        <w:t>Funding: None</w:t>
      </w:r>
    </w:p>
    <w:p>
      <w:pPr>
        <w:jc w:val="center"/>
      </w:pPr>
      <w:r>
        <w:rPr>
          <w:rFonts w:ascii="Times New Roman" w:hAnsi="Times New Roman"/>
          <w:sz w:val="24"/>
        </w:rPr>
        <w:t>Competing interests: None declared</w:t>
      </w:r>
    </w:p>
    <w:p>
      <w:pPr>
        <w:jc w:val="center"/>
      </w:pPr>
      <w:r>
        <w:rPr>
          <w:rFonts w:ascii="Times New Roman" w:hAnsi="Times New Roman"/>
          <w:sz w:val="24"/>
        </w:rPr>
        <w:t>Ethical approval: Not required (secondary analysis of publicly available aggregate statistics)</w:t>
      </w:r>
    </w:p>
    <w:p>
      <w:pPr>
        <w:jc w:val="center"/>
      </w:pPr>
      <w:r>
        <w:rPr>
          <w:rFonts w:ascii="Times New Roman" w:hAnsi="Times New Roman"/>
          <w:sz w:val="24"/>
        </w:rPr>
        <w:t>Word count (main text): approximately 3112 words (excluding abstract, references, declarations, tables and figure legends)</w:t>
      </w:r>
    </w:p>
    <w:p>
      <w:pPr>
        <w:jc w:val="center"/>
      </w:pPr>
      <w:r>
        <w:rPr>
          <w:rFonts w:ascii="Times New Roman" w:hAnsi="Times New Roman"/>
          <w:sz w:val="24"/>
        </w:rPr>
        <w:t>Article type: Original research article</w:t>
      </w:r>
    </w:p>
    <w:p>
      <w:pPr>
        <w:jc w:val="center"/>
      </w:pPr>
      <w:r>
        <w:rPr>
          <w:rFonts w:ascii="Times New Roman" w:hAnsi="Times New Roman"/>
          <w:sz w:val="24"/>
        </w:rPr>
        <w:t>Tables: 2  Figures: 2  Supplementary tables: 4  Supplementary figures: 2</w:t>
      </w:r>
    </w:p>
    <w:p>
      <w:pPr>
        <w:jc w:val="center"/>
      </w:pPr>
      <w:r>
        <w:rPr>
          <w:rFonts w:ascii="Times New Roman" w:hAnsi="Times New Roman"/>
          <w:sz w:val="24"/>
        </w:rPr>
        <w:t>Declaration of generative AI use: Generative AI and AI-assisted technologies were used to assist with coding, data analysis, figure generation, and manuscript drafting; the author(s) reviewed and edited the content and take full responsibility for the publication.</w:t>
      </w:r>
    </w:p>
    <w:p>
      <w:pPr>
        <w:jc w:val="center"/>
      </w:pPr>
      <w:r>
        <w:rPr>
          <w:rFonts w:ascii="Times New Roman" w:hAnsi="Times New Roman"/>
          <w:sz w:val="24"/>
        </w:rPr>
        <w:t>Data availability: all primary data and analysis code are openly available in the project repository.</w:t>
      </w:r>
    </w:p>
    <w:p>
      <w:pPr>
        <w:jc w:val="center"/>
      </w:pPr>
      <w:r>
        <w:rPr>
          <w:rFonts w:ascii="Times New Roman" w:hAnsi="Times New Roman"/>
          <w:sz w:val="24"/>
        </w:rPr>
        <w:t>CRediT author contribution statement: Tatsuki Onishi conceptualised the study, collected and curated data, performed the formal analysis, wrote the original draft, and approved the final manuscript.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120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Arial"/>
        <a:font script="Hang" typeface="Arial"/>
        <a:font script="Hans" typeface="Arial"/>
        <a:font script="Hant" typeface="Arial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