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30 September 2026</w:t>
      </w:r>
    </w:p>
    <w:p/>
    <w:p>
      <w:r>
        <w:rPr>
          <w:rFonts w:ascii="Times New Roman" w:hAnsi="Times New Roman"/>
          <w:sz w:val="24"/>
        </w:rPr>
        <w:t>The Editors</w:t>
      </w:r>
    </w:p>
    <w:p>
      <w:r>
        <w:rPr>
          <w:rFonts w:ascii="Times New Roman" w:hAnsi="Times New Roman"/>
          <w:sz w:val="24"/>
        </w:rPr>
        <w:t>Public Health</w:t>
      </w:r>
    </w:p>
    <w:p/>
    <w:p>
      <w:r>
        <w:rPr>
          <w:rFonts w:ascii="Times New Roman" w:hAnsi="Times New Roman"/>
          <w:sz w:val="24"/>
        </w:rPr>
        <w:t>Dear Editors,</w:t>
      </w:r>
    </w:p>
    <w:p>
      <w:pPr>
        <w:spacing w:after="160" w:line="360" w:lineRule="auto"/>
      </w:pPr>
      <w:r>
        <w:rPr>
          <w:rFonts w:ascii="Times New Roman" w:hAnsi="Times New Roman"/>
          <w:sz w:val="22"/>
        </w:rPr>
        <w:t>We submit an original research article, "Malpractice litigation, physician supply and service capacity in Japan, 2008–2024: a national equivalence analysis", for consideration by Public Health.</w:t>
      </w:r>
    </w:p>
    <w:p>
      <w:pPr>
        <w:spacing w:after="160" w:line="360" w:lineRule="auto"/>
      </w:pPr>
      <w:r>
        <w:rPr>
          <w:rFonts w:ascii="Times New Roman" w:hAnsi="Times New Roman"/>
          <w:sz w:val="22"/>
        </w:rPr>
        <w:t>Why this paper fits Public Health: the study addresses specialty-level physician supply and service capacity—a core public-health workforce and health-system capacity question listed in the journal's scope. We ask how much malpractice-litigation exposure, a widely cited deterrent in high-acuity specialties, actually explains specialty-level workforce change, and whether any association is large enough to matter for workforce planning.</w:t>
      </w:r>
    </w:p>
    <w:p>
      <w:pPr>
        <w:spacing w:after="160" w:line="360" w:lineRule="auto"/>
      </w:pPr>
      <w:r>
        <w:rPr>
          <w:rFonts w:ascii="Times New Roman" w:hAnsi="Times New Roman"/>
          <w:sz w:val="22"/>
        </w:rPr>
        <w:t>What is known: malpractice pressure is often invoked to explain specialty maldistribution, but previous ecological and time-series claims have typically related raw counts of claims to raw counts of physicians, treated interpolated annual series as independent observations, and interpreted non-significant coefficients as evidence of no effect.</w:t>
      </w:r>
    </w:p>
    <w:p>
      <w:pPr>
        <w:spacing w:after="160" w:line="360" w:lineRule="auto"/>
      </w:pPr>
      <w:r>
        <w:rPr>
          <w:rFonts w:ascii="Times New Roman" w:hAnsi="Times New Roman"/>
          <w:sz w:val="22"/>
        </w:rPr>
        <w:t>What this study adds: using national Japanese data for 12 clinical specialties over 2008–2024, we express exposure as a rate (closed claims per 1,000 physicians) to remove specialty-size confounding, analyse only measured biennial physician observations, and apply equivalence (TOST) testing. The contribution is not simply a non-significant association but quantitative evidence that any specialty-level physician-supply association lies within a small, policy-relevant margin (±1% biennial change per 1-SD litigation rate). Importantly, the contribution is not limited to a non-significant association: equivalence testing places an empirical bound on the plausible magnitude of the litigation–workforce relationship, showing that any specialty-level effect is unlikely to be large enough to account for workforce change of practical relevance in this setting.</w:t>
      </w:r>
    </w:p>
    <w:p>
      <w:pPr>
        <w:spacing w:after="160" w:line="360" w:lineRule="auto"/>
      </w:pPr>
      <w:r>
        <w:rPr>
          <w:rFonts w:ascii="Times New Roman" w:hAnsi="Times New Roman"/>
          <w:sz w:val="22"/>
        </w:rPr>
        <w:t>The manuscript was suggested for transfer to Public Health following editorial assessment at Health Policy and Technology on the basis of closer journal scope.</w:t>
      </w:r>
    </w:p>
    <w:p>
      <w:pPr>
        <w:spacing w:after="160" w:line="360" w:lineRule="auto"/>
      </w:pPr>
      <w:r>
        <w:rPr>
          <w:rFonts w:ascii="Times New Roman" w:hAnsi="Times New Roman"/>
          <w:sz w:val="22"/>
        </w:rPr>
        <w:t>All data and code are openly available and every reported number is reproducible from the raw primary files in the accompanying repository. This research did not receive any specific grant from funding agencies in the public, commercial, or not-for-profit sectors. The work is original, has not been published elsewhere, is not under consideration elsewhere, and all authors approve the submission. Declarations of interest: none.</w:t>
      </w:r>
    </w:p>
    <w:p>
      <w:pPr>
        <w:spacing w:after="160" w:line="360" w:lineRule="auto"/>
      </w:pPr>
      <w:r>
        <w:rPr>
          <w:rFonts w:ascii="Times New Roman" w:hAnsi="Times New Roman"/>
          <w:sz w:val="22"/>
        </w:rPr>
        <w:t>Corresponding author: Tatsuki Onishi, Data Science AI Innovation Research Promotion Center, Shiga University, 1-1-1 Bamba, Hikone, Shiga 522-8522, Japan.</w:t>
      </w:r>
    </w:p>
    <w:p>
      <w:r>
        <w:rPr>
          <w:rFonts w:ascii="Times New Roman" w:hAnsi="Times New Roman"/>
          <w:sz w:val="24"/>
        </w:rPr>
        <w:t>Sincerely,</w:t>
      </w:r>
    </w:p>
    <w:p/>
    <w:p>
      <w:r>
        <w:rPr>
          <w:rFonts w:ascii="Times New Roman" w:hAnsi="Times New Roman"/>
          <w:sz w:val="24"/>
        </w:rPr>
        <w:t>Tatsuki Onishi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