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Supplementary material</w:t>
      </w:r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0"/>
        </w:rPr>
        <w:t>Supplementary Figure 1. Closed malpractice claims per 1,000 physicians by specialty, 2008–2024 (rates, not counts).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Supplementary_Fig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0"/>
        </w:rPr>
        <w:t>Supplementary Figure 2. Physician workforce by specialty, indexed to 2008 (=100).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Supplementary_Figur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1. Primary data sources and their resolution.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Series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Source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Resolution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Years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Role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Physicians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Statistics of Physicians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Biennial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2004–2024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Denominator &amp; outcome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Closed malpractice claims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Supreme Court,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Exposure (numerator)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Hospitals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Survey of Medical Institutions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Outcome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Clinics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Survey (static)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Every 3 years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2008–2023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Descriptive only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JMSR report counts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JMSR / MAIS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2015–2024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Sensitivity (2016-2024)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Newspaper article counts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Nikkei Telecom 21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2008–2018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Sensitivity (2009-2018)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2. Equivalence (TOST) results (effect per +1 SD litigation rate).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 per SD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90% CI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Margin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TOST p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Equivalent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-0.21%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-0.84%, +0.42%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-0.21%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-0.84%, +0.42%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+0.07%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-0.91%, +1.06%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+0.07%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-0.91%, +1.06%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3. JMSR-adjusted annual hospital growth model (2016-2024) with both exposures entered simultaneously.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Exposure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Coefficient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litigation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+0.0021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108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JMSR report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0.66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108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4. Media-adjusted annual hospital growth model (2009-2018) with a linear time trend; full year fixed effects are omitted because the national article-count series is collinear with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Exposure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Coefficient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litigation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media count (per 1,000 articles)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-0.0014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