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Tables</w:t>
      </w:r>
    </w:p>
    <w:p>
      <w:pPr>
        <w:spacing w:before="280" w:after="120"/>
      </w:pPr>
      <w:r>
        <w:rPr>
          <w:rFonts w:ascii="Times New Roman" w:hAnsi="Times New Roman"/>
          <w:b/>
          <w:sz w:val="20"/>
        </w:rPr>
        <w:t>Table 1. Physicians, litigation rate (per 1,000 physicians) and hospitals by specialty, first and last waves.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Specialty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Physicians 2008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Physicians 2024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Lit. rate 2008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Lit. rate 2024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Hospitals 2008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Hospitals 2024</w:t>
            </w:r>
          </w:p>
        </w:tc>
      </w:tr>
      <w:tr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Internal medicine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102388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124010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2.23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1.48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7725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7163</w:t>
            </w:r>
          </w:p>
        </w:tc>
      </w:tr>
      <w:tr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Surgery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27525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26885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6.54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2.83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4994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4300</w:t>
            </w:r>
          </w:p>
        </w:tc>
      </w:tr>
      <w:tr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Orthopaedics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19273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22630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5.60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2.87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5094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4844</w:t>
            </w:r>
          </w:p>
        </w:tc>
      </w:tr>
      <w:tr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Plastic surgery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2520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5074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7.14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8.28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1090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1475</w:t>
            </w:r>
          </w:p>
        </w:tc>
      </w:tr>
      <w:tr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Obstetrics &amp; gynaecology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11961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13908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8.28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2.23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1319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1052</w:t>
            </w:r>
          </w:p>
        </w:tc>
      </w:tr>
      <w:tr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Paediatrics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15236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18009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1.44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0.44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2932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2446</w:t>
            </w:r>
          </w:p>
        </w:tc>
      </w:tr>
      <w:tr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Psychiatry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13534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17259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2.22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1.80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2618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2881</w:t>
            </w:r>
          </w:p>
        </w:tc>
      </w:tr>
      <w:tr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Ophthalmology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12627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13436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2.14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1.04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2501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2310</w:t>
            </w:r>
          </w:p>
        </w:tc>
      </w:tr>
      <w:tr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Otolaryngology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8936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9330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2.13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1.39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2039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1937</w:t>
            </w:r>
          </w:p>
        </w:tc>
      </w:tr>
      <w:tr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Urology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6324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8069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2.85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2.11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2799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2893</w:t>
            </w:r>
          </w:p>
        </w:tc>
      </w:tr>
      <w:tr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Dermatology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8214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10043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1.10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1.39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3040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3066</w:t>
            </w:r>
          </w:p>
        </w:tc>
      </w:tr>
      <w:tr>
        <w:tc>
          <w:tcPr>
            <w:tcW w:type="dxa" w:w="1337"/>
          </w:tcPr>
          <w:p>
            <w:r>
              <w:rPr>
                <w:rFonts w:ascii="Times New Roman" w:hAnsi="Times New Roman"/>
                <w:sz w:val="18"/>
              </w:rPr>
              <w:t>Anaesthesia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7067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10628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1.13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0.38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2525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2798</w:t>
            </w:r>
          </w:p>
        </w:tc>
      </w:tr>
    </w:tbl>
    <w:p/>
    <w:p>
      <w:pPr>
        <w:spacing w:before="280" w:after="120"/>
      </w:pPr>
      <w:r>
        <w:rPr>
          <w:rFonts w:ascii="Times New Roman" w:hAnsi="Times New Roman"/>
          <w:b/>
          <w:sz w:val="20"/>
        </w:rPr>
        <w:t>Table 2. Panel fixed-effects models and sensitivity analyses.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Model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Coefficient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95% CI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Physician growth ~ lagged rate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-0.0009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-0.0043, +0.0025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96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Hospital growth ~ lagged rate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+0.0003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-0.0050, +0.0056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0.90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96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Counts contrast (physician)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+0.0002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-0.0005, +0.0009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0.51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96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Annual hospital (sensitivity)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+0.0000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-0.0038, +0.0038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0.99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192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Interpolated physician (sensitivity)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-0.0010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-0.0033, +0.0014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0.39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192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Reverse (workforce→litigation)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+0.097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-1.000, +1.193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0.85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96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12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Arial"/>
        <a:font script="Hang" typeface="Arial"/>
        <a:font script="Hans" typeface="Arial"/>
        <a:font script="Hant" typeface="Arial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Arial"/>
        <a:font script="Hang" typeface="Arial"/>
        <a:font script="Hans" typeface="Arial"/>
        <a:font script="Hant" typeface="Arial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