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6"/>
        </w:rPr>
        <w:t>Highlights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No litigation-risk effect on physician or hospital supply growth in Japan.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Rate-based, measured-only design avoids size confounding and interpolation bias.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Equivalence tests bound litigation effects below policy-relevant margins.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Structural incentives outweigh perceived litigation risk in career choices.</w:t>
      </w:r>
    </w:p>
    <w:p>
      <w:pPr>
        <w:pStyle w:val="ListBullet"/>
        <w:spacing w:line="360" w:lineRule="auto" w:after="80"/>
      </w:pPr>
      <w:r>
        <w:rPr>
          <w:rFonts w:ascii="Times New Roman" w:hAnsi="Times New Roman"/>
          <w:sz w:val="24"/>
        </w:rPr>
        <w:t>No-fault compensation and payment design are more promising policy levers.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*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*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*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*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