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Malpractice litigation risk and physician specialty supply in Japan: a national panel study</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persistent health-workforce problem, and malpractice litigation is widely assumed to push physicians away from high-risk specialties. We tested whether specialty-level malpractice-litigation risk predicts subsequent physician supply and hospital facility counts in Japan, using national administrative data for 12 clinical specialties from 2008 to 2024. Exposure was malpractice claims per 1,000 physicians; outcomes were biennial log-changes in physician counts and annual log-changes in hospital facility counts. We estimated specialty-and-wave fixed-effects panels with clustered standard errors and applied two one-sided equivalence tests with pre-specified margins of +/-1% and +/-2%. The lagged litigation rate was not associated with physician growth (coefficient -0.0009; 95% CI -0.0043 to +0.0025; p=0.56; n=96) or facility-count growth (p=0.90; n=96). Equivalence testing showed that a one-SD higher rate shifted physician growth by less than +/-1% (TOST p=0.023; point estimate -0.21%; 90% CI -0.84% to +0.42%). Malpractice litigation risk does not appear to drive aggregate specialty maldistribution in Japan; structural incentives remain more promising policy levers for rebalancing the workforce.</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health policy; Japan; equivalence testing</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health-workforce problem across high-income health systems. High-acuity fields such as surgery, obstetrics and gynaecology, paediatrics and anaesthesiology are widely perceived as understaffed, with large regional and specialty-level imbalances. (Matsumoto et al., 2010) A recurring policy intuition -- and a common media narrative -- is that the fear of malpractice litigation and medical safety incidents pushes physicians away from these high-risk specialties. (Studdert, Mello and Brennan, 2004; Hiyama et al., 2006) If this behavioural assumption were true, reducing litigation exposure would be an instrument for correcting workforce maldistribution.</w:t>
      </w:r>
    </w:p>
    <w:p>
      <w:pPr>
        <w:spacing w:line="480" w:lineRule="auto" w:after="120"/>
      </w:pPr>
      <w:r>
        <w:rPr>
          <w:rFonts w:ascii="Times New Roman" w:hAnsi="Times New Roman"/>
          <w:b w:val="0"/>
          <w:i w:val="0"/>
          <w:sz w:val="24"/>
        </w:rPr>
        <w:t>From a social-science perspective, however, the link between risk and career choice is mediated by institutional context. Rare but salient adverse events come readily to mind, especially when they are covered in the media, and loss aversion can cause a low-probability outcome to be overweighted in career deliberations. (Tversky and Kahneman, 1973; Kahneman and Tversky, 1979) At the same time, the decision to enter, remain in, or leave a specialty is constrained by expected income, sunk training costs, switching costs and status-quo bias. (Samuelson and Zeckhauser, 1988) The relevant policy question is therefore not whether physicians report anxiety about litigation, but whether that anxiety translates into aggregate workforce shifts in a health system that structures the returns to and costs of specialty choice.</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facility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(Japan Council for Quality Health Care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We address these pitfalls with an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One source disagreement is documented in the extraction provenance. The 2017 internal medicine count is 179 in the consolidated Supreme Court releases (2022/2024/2025) and 181 in the contemporaneous 2017 committee minutes; we retained 179 in the primary series because it is the figure in the released statistics. (Supreme Court of Japan, 2024) The disagreement does not alter the rate-based exposure materially, but it is recorded for transparency.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 facility counts) and regressed it on the lagged litigation rate at the start of the interval, in a panel with specialty and wave fixed effects, clustered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i w:val="0"/>
          <w:sz w:val="24"/>
        </w:rPr>
        <w:t xml:space="preserve">Here, </w:t>
      </w:r>
      <w:r>
        <w:rPr>
          <w:rFonts w:ascii="Times New Roman" w:hAnsi="Times New Roman"/>
          <w:i/>
          <w:sz w:val="24"/>
        </w:rPr>
        <w:t>Y</w:t>
      </w:r>
      <w:r>
        <w:rPr>
          <w:rFonts w:ascii="Times New Roman" w:hAnsi="Times New Roman"/>
          <w:i w:val="0"/>
          <w:sz w:val="24"/>
        </w:rPr>
        <w:t xml:space="preserve"> is either physician counts or hospital facility counts; </w:t>
      </w:r>
      <m:oMath xmlns:mml="http://www.w3.org/1998/Math/MathML">
        <m:sSub>
          <m:e>
            <m:r>
              <m:t>α</m:t>
            </m:r>
          </m:e>
          <m:sub>
            <m:r>
              <m:t>s</m:t>
            </m:r>
          </m:sub>
        </m:sSub>
      </m:oMath>
      <w:r>
        <w:rPr>
          <w:rFonts w:ascii="Times New Roman" w:hAnsi="Times New Roman"/>
          <w:i w:val="0"/>
          <w:sz w:val="24"/>
        </w:rPr>
        <w:t xml:space="preserve"> denotes specialty fixed effects, </w:t>
      </w:r>
      <m:oMath xmlns:mml="http://www.w3.org/1998/Math/MathML">
        <m:sSub>
          <m:e>
            <m:r>
              <m:t>δ</m:t>
            </m:r>
          </m:e>
          <m:sub>
            <m:r>
              <m:t>t</m:t>
            </m:r>
          </m:sub>
        </m:sSub>
      </m:oMath>
      <w:r>
        <w:rPr>
          <w:rFonts w:ascii="Times New Roman" w:hAnsi="Times New Roman"/>
          <w:i w:val="0"/>
          <w:sz w:val="24"/>
        </w:rPr>
        <w:t xml:space="preserve"> wave fixed effects, </w:t>
      </w:r>
      <m:oMath xmlns:mml="http://www.w3.org/1998/Math/MathML">
        <m:r>
          <m:t>β</m:t>
        </m:r>
      </m:oMath>
      <w:r>
        <w:rPr>
          <w:rFonts w:ascii="Times New Roman" w:hAnsi="Times New Roman"/>
          <w:i w:val="0"/>
          <w:sz w:val="24"/>
        </w:rPr>
        <w:t xml:space="preserve"> is the coefficient on the litigation rate, </w:t>
      </w:r>
      <m:oMath xmlns:mml="http://www.w3.org/1998/Math/MathML">
        <m:r>
          <m:t>γ</m:t>
        </m:r>
      </m:oMath>
      <w:r>
        <w:rPr>
          <w:rFonts w:ascii="Times New Roman" w:hAnsi="Times New Roman"/>
          <w:i w:val="0"/>
          <w:sz w:val="24"/>
        </w:rPr>
        <w:t xml:space="preserve"> is the coefficient on the JOCS-CP indicator, and </w:t>
      </w:r>
      <m:oMath xmlns:mml="http://www.w3.org/1998/Math/MathML">
        <m:sSub>
          <m:e>
            <m:r>
              <m:t>ϵ</m:t>
            </m:r>
          </m:e>
          <m:sub>
            <m:r>
              <m:t>st</m:t>
            </m:r>
          </m:sub>
        </m:sSub>
      </m:oMath>
      <w:r>
        <w:rPr>
          <w:rFonts w:ascii="Times New Roman" w:hAnsi="Times New Roman"/>
          <w:i w:val="0"/>
          <w:sz w:val="24"/>
        </w:rPr>
        <w:t xml:space="preserve"> is the error term. Standard errors are clustered by specialty. For the equivalence analysis we standardised </w:t>
      </w:r>
      <w:r>
        <w:rPr>
          <w:rFonts w:ascii="Times New Roman" w:hAnsi="Times New Roman"/>
          <w:i/>
          <w:sz w:val="24"/>
        </w:rPr>
        <w:t>litrate</w:t>
      </w:r>
      <w:r>
        <w:rPr>
          <w:rFonts w:ascii="Times New Roman" w:hAnsi="Times New Roman"/>
          <w:i w:val="0"/>
          <w:sz w:val="24"/>
        </w:rPr>
        <w:t xml:space="preserve"> to a z-score, so </w:t>
      </w:r>
      <m:oMath xmlns:mml="http://www.w3.org/1998/Math/MathML">
        <m:r>
          <m:t>β</m:t>
        </m:r>
      </m:oMath>
      <w:r>
        <w:rPr>
          <w:rFonts w:ascii="Times New Roman" w:hAnsi="Times New Roman"/>
          <w:i w:val="0"/>
          <w:sz w:val="24"/>
        </w:rPr>
        <w:t xml:space="preserve">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The margins were chosen to be smaller than the policy-relevant workforce shifts that structural tools have produced: for example, targeted residency subsidies raised primary-care physician supply by about 4% in a comparable setting. (McNamara and Pineda-Torres, 2025) That 4% is a total programme effect, whereas our +/-1% and +/-2% margins are biennial, so the margins are substantially smaller than the policy-relevant shift and therefore conservative. The TOST procedure itself is standard for equivalence testing.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sensitivity checks are given in Supplementary Note 1.</w:t>
      </w:r>
    </w:p>
    <w:p>
      <w:pPr>
        <w:pStyle w:val="Heading2"/>
      </w:pPr>
      <w:r>
        <w:rPr>
          <w:rFonts w:ascii="Times New Roman" w:hAnsi="Times New Roman"/>
          <w:color w:val="000000"/>
        </w:rPr>
        <w:t>Policy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scenarios. The baseline used each specialty's observed mean biennial log-growth from 2004 to 2024. The two litigation-reduction scenarios set the litigation rate to zero and applied the point estimate and the 95% lower-bound coefficient, respectively, so they show both the central projection and the most favourable effect consistent with the data. The third scenario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spacing w:before="280" w:after="120"/>
      </w:pPr>
      <w:r>
        <w:rPr>
          <w:rFonts w:ascii="Times New Roman" w:hAnsi="Times New Roman"/>
          <w:b/>
          <w:sz w:val="20"/>
        </w:rPr>
        <w:t>Table 1. Physicians, litigation rate (per 1,000 physicians) and hospital facilities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 facilities 2008</w:t>
            </w:r>
          </w:p>
        </w:tc>
        <w:tc>
          <w:tcPr>
            <w:tcW w:type="dxa" w:w="1337"/>
          </w:tcPr>
          <w:p>
            <w:pPr>
              <w:jc w:val="center"/>
            </w:pPr>
            <w:r>
              <w:rPr>
                <w:rFonts w:ascii="Times New Roman" w:hAnsi="Times New Roman"/>
                <w:b/>
                <w:sz w:val="18"/>
              </w:rPr>
              <w:t>Hospital facilities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facility-count growth (coefficient +0.0003; p=0.90). Equivalence testing (Figure 1; Table 2) showed that a 1-SD higher litigation rate changed biennial physician growth by less than +/-1% (TOST p=0.023; point estimate -0.21% with 90% CI -0.84% to +0.42%). For hospital facility-count growth the point estimate was +0.07% (90% CI -0.91% to +1.06%): it was within the +/-2% margin (p=0.002) but not the stricter +/-1% margin (p=0.059). Thus the data are consistent with the absence of a policy-relevant effect on physician growth, and with at most a small effect on hospital facility-count growth. Detailed TOST results by margin are reported in Supplementary Table 2.</w:t>
      </w:r>
    </w:p>
    <w:p>
      <w:pPr>
        <w:spacing w:before="280"/>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Pr>
        <w:spacing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facility-count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facility-count growth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before="280"/>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line="480" w:lineRule="auto" w:after="120"/>
      </w:pPr>
      <w:r>
        <w:rPr>
          <w:rFonts w:ascii="Times New Roman" w:hAnsi="Times New Roman"/>
          <w:b w:val="0"/>
          <w:i w:val="0"/>
          <w:sz w:val="24"/>
        </w:rPr>
        <w:t>The same count-versus-rate contrast for biennial hospital facility-count growth is shown in Figure 3. As with physician growth, the count exposure creates a spurious size confound that disappears once the rate-adjusted exposure is used.</w:t>
      </w:r>
    </w:p>
    <w:p>
      <w:pPr>
        <w:spacing w:before="280"/>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3. Biennial hospital facility-count growth against lagged litigation exposure measured as (a) counts and (b) rates. Points are coloured by specialty; the rate-adjusted panel shows no systematic association.</w:t>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facility-count growth for 2016-2024 that included both the lagged litigation rate and the lagged JMSR report rate left the litigation coefficient little changed (+0.0021; p=0.28) and the JMSR term was not associated with hospital facility-count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facility-count growth for 2009-2018 that included both the lagged litigation rate and the lagged article count (per 1,000 articles) left the litigation coefficient little changed and the media term was not associated with hospital facility-count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validation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facility-count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facility-count growth the minimum detectable effect was 1.69% per SD and the equivalent power for the +/-1% margin was 90.4%. The panel is informative enough to rule out policy-relevant physician effects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benchmark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scenario are reported in Supplementary Table 7; Figure 4 summarises the same information as marginal percentage changes. Litigation reduction is not a high-impact instrument for workforce allocation in this setting.</w:t>
      </w:r>
    </w:p>
    <w:p>
      <w:pPr>
        <w:spacing w:before="280"/>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Pr>
        <w:spacing w:after="120"/>
      </w:pPr>
      <w:r>
        <w:rPr>
          <w:rFonts w:ascii="Times New Roman" w:hAnsi="Times New Roman"/>
          <w:b/>
          <w:sz w:val="20"/>
        </w:rPr>
        <w:t>Figure 4. Counterfactual policy simulation: marginal 10-year change in physician counts by specialty relative to the projected baseline drift. The MDE benchmark is the minimum detectable per-SD effect from the primary analysis.</w:t>
      </w:r>
    </w:p>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specialty choice in Japan; Supplementary Table 8 reports the counts by specialty.</w:t>
      </w:r>
    </w:p>
    <w:p>
      <w:pPr>
        <w:pStyle w:val="Heading2"/>
      </w:pPr>
      <w:r>
        <w:rPr>
          <w:rFonts w:ascii="Times New Roman" w:hAnsi="Times New Roman"/>
          <w:color w:val="000000"/>
        </w:rPr>
        <w:t>Heterogeneity and trend sensitivity</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facility-count growth the main coefficient was -0.0001 (p=0.99) and the interaction was +0.0004 (p=0.93). For the surgical-specialty interaction the physician main effect was -0.0045 (p=0.24) and the interaction was +0.0057 (p=0.39); for hospital facility-count growth the main effect was +0.0044 (p=0.12) and the interaction was -0.0066 (p=0.06). Allowing specialty-specific linear trends also left the litigation coefficient small and non-significant for physician growth (+0.0010; p=0.73) and hospital facility-count growth (+0.0027; p=0.11). None of the interactions or trend-stability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and hospital facility-count growth. Equivalence testing showed that any effect of litigation risk on biennial physician growth is smaller than +/-1% (90% CI within the +/-1% margin), and the effect on hospital facility-count growth is bounded within the pre-specified +/-2% margin. These data do not support the assumption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health policy and medical sociology, this is an important distinction: a widely discussed risk can be salient without being a reliable policy lever. The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Interpretation in institutional context</w:t>
      </w:r>
    </w:p>
    <w:p>
      <w:pPr>
        <w:spacing w:line="480" w:lineRule="auto" w:after="120"/>
      </w:pPr>
      <w:r>
        <w:rPr>
          <w:rFonts w:ascii="Times New Roman" w:hAnsi="Times New Roman"/>
          <w:b w:val="0"/>
          <w:i w:val="0"/>
          <w:sz w:val="24"/>
        </w:rPr>
        <w:t>Several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consistency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 mechanisms. Media coverage of sensational malpractice or criminal prosecutions keeps litigation risk salient in memory for physicians and trainees, and loss aversion can cause a rare but salient adverse outcome to be overweighted in career deliberations. (Tversky and Kahneman, 1973; Kahneman and Tversky, 1979) Yet the decision to leave a specialty is governed by expected income, sunk training costs, switching costs and status-quo bias, all of which discourage exit even when perceived risk is high. (Samuelson and Zeckhauser, 1988) The gap between reported anxiety and measured supply is therefore not a contradiction, but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health policy, the lesson is that changing the perceived risk alone is unlikely to alter aggregate workforce allocation when the underlying choice architecture preserves strong structural incentives to remain. Once a physician has incurred the sunk cost of specialty training, status-quo bias and loss aversion make leaving feel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tools.</w:t>
      </w:r>
    </w:p>
    <w:p>
      <w:pPr>
        <w:pStyle w:val="Heading2"/>
      </w:pPr>
      <w:r>
        <w:rPr>
          <w:rFonts w:ascii="Times New Roman" w:hAnsi="Times New Roman"/>
          <w:color w:val="000000"/>
        </w:rPr>
        <w:t>Legal and international context</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tool for correcting specialty maldistribution. The 10-year counterfactual showed that eliminating all claims would add only 1.1% to the projected national physician stock under the point estimate, and 5.2% under the most favourable 95% lower-bound coefficient. A generic benchmark equal to the minimum detectable effect would add 5.5%. Effects of this size are too small to rebalance a workforce whose distribution is shaped by training costs, reimbursement and seniority.</w:t>
      </w:r>
    </w:p>
    <w:p>
      <w:pPr>
        <w:spacing w:line="480" w:lineRule="auto" w:after="120"/>
      </w:pPr>
      <w:r>
        <w:rPr>
          <w:rFonts w:ascii="Times New Roman" w:hAnsi="Times New Roman"/>
          <w:b w:val="0"/>
          <w:i w:val="0"/>
          <w:sz w:val="24"/>
        </w:rPr>
        <w:t>The muted response reflects the institutional structure of career choice, not a lack of concern. Once a physician has entered a specialty, the costs of switching -- foregone fellowship income, lost seniority and professional identity -- generate powerful status-quo bias, while fee-for-service income rewards the high-acuity work that also carries litigation risk. No-fault compensation, payment design and training subsidies alter the payoffs and defaults that matter for a loss-averse trainee; they are more reliable tools than risk communication. (Samuelson and Zeckhauser, 1988; Kahneman and Tversky, 1979) New Zealand and the Nordic administrative-compensation systems show how separating compensation from blame can protect patients and providers without relying on litigation, and Japan's JOCS-CP moves in the same direction for obstetric cerebral palsy. (Bismark and Paterson, 2006; Mello, Kachalia and Studdert, 2011; Hasegawa et al., 2016)</w:t>
      </w:r>
    </w:p>
    <w:p>
      <w:pPr>
        <w:spacing w:line="480" w:lineRule="auto" w:after="120"/>
      </w:pPr>
      <w:r>
        <w:rPr>
          <w:rFonts w:ascii="Times New Roman" w:hAnsi="Times New Roman"/>
          <w:b w:val="0"/>
          <w:i w:val="0"/>
          <w:sz w:val="24"/>
        </w:rPr>
        <w:t>Information campaigns that publicise the rarity of claims are therefore unlikely to alter aggregate supply. The availability heuristic means that vivid cases dominate decision weights regardless of their frequency, so a national trend line does not remove salient exemplars from memory or media coverage. (Tversky and Kahneman, 1973; Kahneman and Tversky, 1979; Lin et al., 2022) The policy lesson is that governments should redesign the choice architecture -- payment, training slots and compensation rules -- rather than expect litigation-avoidance messaging to drive career decisions. Our results are consistent with the interpretation that structural defaults and loss aversion outweigh rare-event risk perception in the aggregate workforce.</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national-policy level cannot be fully ruled out. Cluster block-bootstrap and power diagnostics are reported in Supplementary Table 6. Because clusters are defined by the 12 specialties, the small-cluster correction uses G-1=11 degrees of freedom; this is the minimum at which cluster-level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Malpractice litigation is not a reliable policy lever for correcting specialty maldistribution in this setting. Policymakers may more productively target structural incentives, especially no-fault compensation and payment design, than rely on the assumption that reducing litigation will retain physicians in high-risk specialties. The transparent, reproducible sensitivity-analysis framework used here is exportable to other healthcare workforce-policy questions. More generally, the results caution against treating salient risks as policy instruments when the underlying institutional context preserves strong structural incentives.</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50(2): 317-372.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370(9596): 1453-1457.</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Japan Council for Quality Health Care (JOCS-CP) (2009), </w:t>
      </w:r>
      <w:r>
        <w:rPr>
          <w:rFonts w:ascii="Times New Roman" w:hAnsi="Times New Roman"/>
          <w:b w:val="0"/>
          <w:i/>
          <w:sz w:val="20"/>
        </w:rPr>
        <w:t>Japan Obstetric Compensation System for Cerebral Palsy</w:t>
      </w:r>
      <w:r>
        <w:rPr>
          <w:rFonts w:ascii="Times New Roman" w:hAnsi="Times New Roman"/>
          <w:b w:val="0"/>
          <w:i w:val="0"/>
          <w:sz w:val="20"/>
        </w:rPr>
        <w:t>. Tokyo: Japan Council for Quality Health Care.</w:t>
      </w:r>
    </w:p>
    <w:p>
      <w:pPr>
        <w:spacing w:line="360" w:lineRule="auto"/>
      </w:pPr>
      <w:r>
        <w:rPr>
          <w:rFonts w:ascii="Times New Roman" w:hAnsi="Times New Roman"/>
          <w:b w:val="0"/>
          <w:i w:val="0"/>
          <w:sz w:val="20"/>
        </w:rPr>
        <w:t xml:space="preserve">Japan Medical Safety Research Organisation (JMSR) (2025), </w:t>
      </w:r>
      <w:r>
        <w:rPr>
          <w:rFonts w:ascii="Times New Roman" w:hAnsi="Times New Roman"/>
          <w:b w:val="0"/>
          <w:i/>
          <w:sz w:val="20"/>
        </w:rPr>
        <w:t>Annual reports of medical accident investigations (2015-2024)</w:t>
      </w:r>
      <w:r>
        <w:rPr>
          <w:rFonts w:ascii="Times New Roman" w:hAnsi="Times New Roman"/>
          <w:b w:val="0"/>
          <w:i w:val="0"/>
          <w:sz w:val="20"/>
        </w:rPr>
        <w:t>. Tokyo: JMSR.</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96(3): 239-244. doi:10.1016/j.healthpol.2010.02.008</w:t>
      </w:r>
    </w:p>
    <w:p>
      <w:pPr>
        <w:spacing w:line="360" w:lineRule="auto"/>
      </w:pPr>
      <w:r>
        <w:rPr>
          <w:rFonts w:ascii="Times New Roman" w:hAnsi="Times New Roman"/>
          <w:b w:val="0"/>
          <w:i w:val="0"/>
          <w:sz w:val="20"/>
        </w:rPr>
        <w:t>McNamara, C. and Pineda-Torres, M. (2025), '</w:t>
      </w:r>
      <w:r>
        <w:rPr>
          <w:rFonts w:ascii="Times New Roman" w:hAnsi="Times New Roman"/>
          <w:b w:val="0"/>
          <w:i w:val="0"/>
          <w:sz w:val="20"/>
        </w:rPr>
        <w:t>Medical residency subsidies and physician shortages</w:t>
      </w:r>
      <w:r>
        <w:rPr>
          <w:rFonts w:ascii="Times New Roman" w:hAnsi="Times New Roman"/>
          <w:b w:val="0"/>
          <w:i w:val="0"/>
          <w:sz w:val="20"/>
        </w:rPr>
        <w:t xml:space="preserve">', </w:t>
      </w:r>
      <w:r>
        <w:rPr>
          <w:rFonts w:ascii="Times New Roman" w:hAnsi="Times New Roman"/>
          <w:b w:val="0"/>
          <w:i/>
          <w:sz w:val="20"/>
        </w:rPr>
        <w:t>J Public Econ</w:t>
      </w:r>
      <w:r>
        <w:rPr>
          <w:rFonts w:ascii="Times New Roman" w:hAnsi="Times New Roman"/>
          <w:b w:val="0"/>
          <w:i w:val="0"/>
          <w:sz w:val="20"/>
        </w:rPr>
        <w:t>. 251: 105494. doi:10.1016/j.jpubeco.2025.105494</w:t>
      </w:r>
    </w:p>
    <w:p>
      <w:pPr>
        <w:spacing w:line="360" w:lineRule="auto"/>
      </w:pPr>
      <w:r>
        <w:rPr>
          <w:rFonts w:ascii="Times New Roman" w:hAnsi="Times New Roman"/>
          <w:b w:val="0"/>
          <w:i w:val="0"/>
          <w:sz w:val="20"/>
        </w:rPr>
        <w:t>Medical Accident Investigation System (2015), Act on the Promotion of Medical Safety. Tokyo: Ministry of Health, Labour and Welfare.</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xml:space="preserve"> New York: The Commonwealth Fund.</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xml:space="preserve"> Tokyo: MHLW.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xml:space="preserve"> Tokyo: MHLW.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xml:space="preserve"> Tokyo: MHLW.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xml:space="preserve"> Tokyo: MHLW.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Tokyo: Nikkei Inc.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xml:space="preserve"> Tokyo: Supreme Court of Japan.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5(2): 207-232.</w:t>
      </w:r>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