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Litigation risk and specialty-level physician and hospital supply in Japan, 2008–2024: a rate-based analysis with equivalence testing</w:t>
      </w:r>
    </w:p>
    <w:p>
      <w:pPr>
        <w:pStyle w:val="Heading1"/>
      </w:pPr>
      <w:r>
        <w:rPr>
          <w:rFonts w:ascii="Times New Roman" w:hAnsi="Times New Roman"/>
          <w:color w:val="000000"/>
        </w:rPr>
        <w:t>Abstract</w:t>
      </w:r>
    </w:p>
    <w:p>
      <w:pPr>
        <w:spacing w:line="480" w:lineRule="auto" w:after="120"/>
      </w:pPr>
      <w:r>
        <w:rPr>
          <w:rFonts w:ascii="Times New Roman" w:hAnsi="Times New Roman"/>
          <w:sz w:val="24"/>
        </w:rPr>
        <w:t>Background: Specialty maldistribution in Japan has raised concern that malpractice litigation drives physicians away from high-risk specialties. Objective: To test whether specialty-level litigation risk predicts later physician and hospital decline. Methods: Using national primary data for 12 specialties (2008–2024), we measured exposure as closed malpractice claims per 1,000 physicians (rate, not count) and regressed the biennial log-change in physicians and hospitals on the lagged litigation rate in a panel with specialty and wave fixed effects, cluster-robust errors, equivalence tests, and sensitivity analyses. Results: The physician workforce grew in 11 of 12 specialties; Surgery, which changed by -2.3%, was the only exception. Litigation risk was not associated with physician growth (coefficient -0.0009 per claim per 1,000 physicians; 95% CI -0.0043 to +0.0025; p=0.56) or hospital growth (p=0.90). A one-standard-deviation higher litigation rate changed physician growth by less than ±1% (TOST p=0.023) and hospital growth by less than ±2% (p=0.002); sensitivity analyses were unchanged, and per-specialty rank correlations were mostly positive (10/12) and none significant. Conclusions: Specialty-level litigation risk in Japan is not associated with workforce decline and is statistically equivalent to a null effect within a small, policy-relevant margin. The belief that physicians flee high-litigation specialties is unsupported; structural incentives may sustain the workforce despite litigation risk.</w:t>
      </w:r>
    </w:p>
    <w:p>
      <w:pPr>
        <w:spacing w:after="360"/>
      </w:pPr>
      <w:r>
        <w:rPr>
          <w:rFonts w:ascii="Times New Roman" w:hAnsi="Times New Roman"/>
          <w:b/>
        </w:rPr>
        <w:t xml:space="preserve">Keywords: </w:t>
      </w:r>
      <w:r>
        <w:rPr>
          <w:rFonts w:ascii="Times New Roman" w:hAnsi="Times New Roman"/>
          <w:b w:val="0"/>
          <w:i w:val="0"/>
          <w:sz w:val="24"/>
        </w:rPr>
        <w:t>malpractice litigation; physician workforce; specialty maldistribution; equivalence testing; health policy; Japan</w:t>
      </w:r>
    </w:p>
    <w:p>
      <w:pPr>
        <w:pStyle w:val="Heading1"/>
      </w:pPr>
      <w:r>
        <w:rPr>
          <w:rFonts w:ascii="Times New Roman" w:hAnsi="Times New Roman"/>
          <w:color w:val="000000"/>
        </w:rPr>
        <w:t>Research in context</w:t>
      </w:r>
    </w:p>
    <w:p>
      <w:pPr>
        <w:spacing w:line="480" w:lineRule="auto" w:after="120"/>
      </w:pPr>
      <w:r>
        <w:rPr>
          <w:rFonts w:ascii="Times New Roman" w:hAnsi="Times New Roman"/>
          <w:b/>
          <w:sz w:val="24"/>
        </w:rPr>
        <w:t xml:space="preserve">What is already known about the topic? </w:t>
      </w:r>
      <w:r>
        <w:rPr>
          <w:rFonts w:ascii="Times New Roman" w:hAnsi="Times New Roman"/>
          <w:b w:val="0"/>
          <w:i w:val="0"/>
          <w:sz w:val="24"/>
        </w:rPr>
        <w:t>Malpractice litigation risk is widely cited as a driver of physician shortages in high-risk specialties, yet most prior analyses use raw counts that conflate specialty size with behavioural effects.</w:t>
      </w:r>
    </w:p>
    <w:p>
      <w:pPr>
        <w:spacing w:line="480" w:lineRule="auto" w:after="120"/>
      </w:pPr>
      <w:r>
        <w:rPr>
          <w:rFonts w:ascii="Times New Roman" w:hAnsi="Times New Roman"/>
          <w:b/>
          <w:sz w:val="24"/>
        </w:rPr>
        <w:t xml:space="preserve">What does this study add to the literature? </w:t>
      </w:r>
      <w:r>
        <w:rPr>
          <w:rFonts w:ascii="Times New Roman" w:hAnsi="Times New Roman"/>
          <w:b w:val="0"/>
          <w:i w:val="0"/>
          <w:sz w:val="24"/>
        </w:rPr>
        <w:t>We use size-adjusted rates, only measured biennial observations, and equivalence testing to show no association between litigation risk and specialty-level physician or hospital growth in Japan.</w:t>
      </w:r>
    </w:p>
    <w:p>
      <w:pPr>
        <w:spacing w:line="480" w:lineRule="auto" w:after="120"/>
      </w:pPr>
      <w:r>
        <w:rPr>
          <w:rFonts w:ascii="Times New Roman" w:hAnsi="Times New Roman"/>
          <w:b/>
          <w:sz w:val="24"/>
        </w:rPr>
        <w:t xml:space="preserve">What are the policy implications? </w:t>
      </w:r>
      <w:r>
        <w:rPr>
          <w:rFonts w:ascii="Times New Roman" w:hAnsi="Times New Roman"/>
          <w:b w:val="0"/>
          <w:i w:val="0"/>
          <w:sz w:val="24"/>
        </w:rPr>
        <w:t>Reducing malpractice litigation is unlikely to resolve specialty maldistribution; structural incentives such as no-fault compensation and payment design are more promising levers.</w:t>
      </w:r>
    </w:p>
    <w:p>
      <w:pPr>
        <w:pStyle w:val="Heading1"/>
      </w:pPr>
      <w:r>
        <w:rPr>
          <w:rFonts w:ascii="Times New Roman" w:hAnsi="Times New Roman"/>
          <w:color w:val="000000"/>
        </w:rPr>
        <w:t>Background</w:t>
      </w:r>
    </w:p>
    <w:p>
      <w:pPr>
        <w:spacing w:line="480" w:lineRule="auto" w:after="120"/>
      </w:pPr>
      <w:r>
        <w:rPr>
          <w:rFonts w:ascii="Times New Roman" w:hAnsi="Times New Roman"/>
          <w:b w:val="0"/>
          <w:i w:val="0"/>
          <w:sz w:val="24"/>
        </w:rPr>
        <w:t>Japan faces a marked maldistribution of physicians across specialties despite continued growth in the total physician supply. High-acuity fields such as surgery, obstetrics and gynaecology, paediatrics and emergency care are widely perceived as understaffed.</w:t>
      </w:r>
      <w:r>
        <w:rPr>
          <w:rFonts w:ascii="Times New Roman" w:hAnsi="Times New Roman"/>
          <w:sz w:val="20"/>
          <w:vertAlign w:val="superscript"/>
        </w:rPr>
        <w:t>[1]</w:t>
      </w:r>
      <w:r>
        <w:rPr>
          <w:rFonts w:ascii="Times New Roman" w:hAnsi="Times New Roman"/>
          <w:b w:val="0"/>
          <w:i w:val="0"/>
          <w:sz w:val="24"/>
        </w:rPr>
        <w:t xml:space="preserve"> A recurring policy intuition is that medical safety incidents and the threat of malpractice litigation push physicians away from high-risk specialties toward lower-risk practice.</w:t>
      </w:r>
      <w:r>
        <w:rPr>
          <w:rFonts w:ascii="Times New Roman" w:hAnsi="Times New Roman"/>
          <w:sz w:val="20"/>
          <w:vertAlign w:val="superscript"/>
        </w:rPr>
        <w:t>[2-3]</w:t>
      </w:r>
      <w:r>
        <w:rPr>
          <w:rFonts w:ascii="Times New Roman" w:hAnsi="Times New Roman"/>
          <w:b w:val="0"/>
          <w:i w:val="0"/>
          <w:sz w:val="24"/>
        </w:rPr>
        <w:t xml:space="preserve"> If true, reducing litigation exposure would be a lever against maldistribution.</w:t>
      </w:r>
    </w:p>
    <w:p>
      <w:pPr>
        <w:spacing w:line="480" w:lineRule="auto" w:after="120"/>
      </w:pPr>
      <w:r>
        <w:rPr>
          <w:rFonts w:ascii="Times New Roman" w:hAnsi="Times New Roman"/>
          <w:b w:val="0"/>
          <w:i w:val="0"/>
          <w:sz w:val="24"/>
        </w:rPr>
        <w:t>Prior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counts co-move without any behavioural mechanism. Second, the physician census is collected only biennially; interpolating it to an annual series and analysing it as if each year were an independent observation inflates the degrees of freedom of any lag-based method.</w:t>
      </w:r>
    </w:p>
    <w:p>
      <w:pPr>
        <w:spacing w:line="480" w:lineRule="auto" w:after="120"/>
      </w:pPr>
      <w:r>
        <w:rPr>
          <w:rFonts w:ascii="Times New Roman" w:hAnsi="Times New Roman"/>
          <w:b w:val="0"/>
          <w:i w:val="0"/>
          <w:sz w:val="24"/>
        </w:rPr>
        <w:t>We therefore examined the question using rates rather than counts, using only measured biennial physician observations, and using equivalence testing—which can provide positive evidence for the absence of a meaningful effect rather than merely failing to reject a null.</w:t>
      </w:r>
      <w:r>
        <w:rPr>
          <w:rFonts w:ascii="Times New Roman" w:hAnsi="Times New Roman"/>
          <w:sz w:val="20"/>
          <w:vertAlign w:val="superscript"/>
        </w:rPr>
        <w:t>[4-5]</w:t>
      </w:r>
      <w:r>
        <w:rPr>
          <w:rFonts w:ascii="Times New Roman" w:hAnsi="Times New Roman"/>
          <w:b w:val="0"/>
          <w:i w:val="0"/>
          <w:sz w:val="24"/>
        </w:rPr>
        <w:t xml:space="preserve"> We also account for the Japan Obstetric Compensation System for Cerebral Palsy (JOCS-CP), a no-fault scheme launched in January 2009 that sits within the study window and applies to the specialty most often cited in this debate.</w:t>
      </w:r>
      <w:r>
        <w:rPr>
          <w:rFonts w:ascii="Times New Roman" w:hAnsi="Times New Roman"/>
          <w:sz w:val="20"/>
          <w:vertAlign w:val="superscript"/>
        </w:rPr>
        <w:t>[6]</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w:t>
      </w:r>
      <w:r>
        <w:rPr>
          <w:rFonts w:ascii="Times New Roman" w:hAnsi="Times New Roman"/>
          <w:sz w:val="20"/>
          <w:vertAlign w:val="superscript"/>
        </w:rPr>
        <w:t>[7]</w:t>
      </w:r>
      <w:r>
        <w:rPr>
          <w:rFonts w:ascii="Times New Roman" w:hAnsi="Times New Roman"/>
          <w:b w:val="0"/>
          <w:i w:val="0"/>
          <w:sz w:val="24"/>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0"/>
          <w:vertAlign w:val="superscript"/>
        </w:rPr>
        <w:t>[8]</w:t>
      </w:r>
      <w:r>
        <w:rPr>
          <w:rFonts w:ascii="Times New Roman" w:hAnsi="Times New Roman"/>
          <w:b w:val="0"/>
          <w:i w:val="0"/>
          <w:sz w:val="24"/>
        </w:rPr>
        <w:t>; closed malpractice claims by specialty from the Supreme Court of Japan</w:t>
      </w:r>
      <w:r>
        <w:rPr>
          <w:rFonts w:ascii="Times New Roman" w:hAnsi="Times New Roman"/>
          <w:sz w:val="20"/>
          <w:vertAlign w:val="superscript"/>
        </w:rPr>
        <w:t>[9]</w:t>
      </w:r>
      <w:r>
        <w:rPr>
          <w:rFonts w:ascii="Times New Roman" w:hAnsi="Times New Roman"/>
          <w:b w:val="0"/>
          <w:i w:val="0"/>
          <w:sz w:val="24"/>
        </w:rPr>
        <w:t>; and hospital counts by specialty from the annual Survey of Medical Institutions</w:t>
      </w:r>
      <w:r>
        <w:rPr>
          <w:rFonts w:ascii="Times New Roman" w:hAnsi="Times New Roman"/>
          <w:sz w:val="20"/>
          <w:vertAlign w:val="superscript"/>
        </w:rPr>
        <w:t>[10]</w:t>
      </w:r>
      <w:r>
        <w:rPr>
          <w:rFonts w:ascii="Times New Roman" w:hAnsi="Times New Roman"/>
          <w:b w:val="0"/>
          <w:i w:val="0"/>
          <w:sz w:val="24"/>
        </w:rPr>
        <w:t>. Two sensitivity series were also used: annual medical accident investigation reports by specialty from the Japan Medical Safety Research Organisation (JMSR, 2015-2025)</w:t>
      </w:r>
      <w:r>
        <w:rPr>
          <w:rFonts w:ascii="Times New Roman" w:hAnsi="Times New Roman"/>
          <w:sz w:val="20"/>
          <w:vertAlign w:val="superscript"/>
        </w:rPr>
        <w:t>[11]</w:t>
      </w:r>
      <w:r>
        <w:rPr>
          <w:rFonts w:ascii="Times New Roman" w:hAnsi="Times New Roman"/>
          <w:b w:val="0"/>
          <w:i w:val="0"/>
          <w:sz w:val="24"/>
        </w:rPr>
        <w:t xml:space="preserve"> and total national newspaper article counts from Nikkei Telecom 21 (2009–2018; keywords: medical accident + medical malpractice).</w:t>
      </w:r>
      <w:r>
        <w:rPr>
          <w:rFonts w:ascii="Times New Roman" w:hAnsi="Times New Roman"/>
          <w:sz w:val="20"/>
          <w:vertAlign w:val="superscript"/>
        </w:rPr>
        <w:t>[12]</w:t>
      </w:r>
      <w:r>
        <w:rPr>
          <w:rFonts w:ascii="Times New Roman" w:hAnsi="Times New Roman"/>
          <w:b w:val="0"/>
          <w:i w:val="0"/>
          <w:sz w:val="24"/>
        </w:rPr>
        <w:t xml:space="preserve"> The full extraction pipeline (with source identifiers and SHA-256 checksums) is documented in the accompanying repository.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0"/>
          <w:vertAlign w:val="superscript"/>
        </w:rPr>
        <w:t>[9]</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0"/>
          <w:vertAlign w:val="superscript"/>
        </w:rPr>
        <w:t>[11]</w:t>
      </w:r>
      <w:r>
        <w:rPr>
          <w:rFonts w:ascii="Times New Roman" w:hAnsi="Times New Roman"/>
          <w:b w:val="0"/>
          <w:i w:val="0"/>
          <w:sz w:val="24"/>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4"/>
        </w:rPr>
        <w:t>where C is the number of closed claims, P is the physician count, and s and t index specialties and years.</w:t>
      </w:r>
    </w:p>
    <w:p>
      <w:pPr>
        <w:spacing w:line="480" w:lineRule="auto" w:after="120"/>
      </w:pPr>
      <w:r>
        <w:rPr>
          <w:rFonts w:ascii="Times New Roman" w:hAnsi="Times New Roman"/>
          <w:b w:val="0"/>
          <w:i w:val="0"/>
          <w:sz w:val="24"/>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0"/>
          <w:vertAlign w:val="superscript"/>
        </w:rPr>
        <w:t>[13]</w:t>
      </w:r>
      <w:r>
        <w:rPr>
          <w:rFonts w:ascii="Times New Roman" w:hAnsi="Times New Roman"/>
          <w:b w:val="0"/>
          <w:i w:val="0"/>
          <w:sz w:val="24"/>
        </w:rPr>
        <w:t xml:space="preserve"> Fixed effects absorb time-invariant specialty characteristics and common shocks, so identification comes from within-specialty deviations in litigation rate over time.</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4"/>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sz w:val="20"/>
          <w:vertAlign w:val="superscript"/>
        </w:rPr>
        <w:t>[4-5]</w:t>
      </w:r>
      <w:r>
        <w:rPr>
          <w:rFonts w:ascii="Times New Roman" w:hAnsi="Times New Roman"/>
          <w:b w:val="0"/>
          <w:i w:val="0"/>
          <w:sz w:val="24"/>
        </w:rPr>
        <w:t xml:space="preserve"> The exposure was standardised so the coefficient is the expected log-change per 1-SD increase in litigation rate; we pre-specified equivalence margins of ±1% and ±2% biennial workforce change and used the number of specialty clusters minus one as the degrees of freedom. An indicator for obstetrics and gynaecology from 2009 onward captured the JOCS-CP period.</w:t>
      </w:r>
      <w:r>
        <w:rPr>
          <w:rFonts w:ascii="Times New Roman" w:hAnsi="Times New Roman"/>
          <w:sz w:val="20"/>
          <w:vertAlign w:val="superscript"/>
        </w:rPr>
        <w:t>[6]</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Because the primary analyses are confirmatory and null, we did not adjust for multiplicity and interpret the single secondary association (the JOCS-CP indicator) as exploratory.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4"/>
        </w:rPr>
        <w:t>For physician growth m = 1%; for hospital growth m = 2%. Rejecting both one-sided nulls supports the equivalence conclusion |β|&lt;m.</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Hospitals 2008</w:t>
            </w:r>
          </w:p>
        </w:tc>
        <w:tc>
          <w:tcPr>
            <w:tcW w:type="dxa" w:w="1337"/>
          </w:tcPr>
          <w:p>
            <w:pPr>
              <w:jc w:val="center"/>
            </w:pPr>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Thus the data are consistent with, and statistically support, the absence of a policy-relevant effect. Detailed TOST results by margin are reported in Supplementary Table 2.</w:t>
      </w:r>
    </w:p>
    <w:p>
      <w:pPr>
        <w:spacing w:before="280" w:after="120"/>
      </w:pPr>
      <w:r>
        <w:rPr>
          <w:rFonts w:ascii="Times New Roman" w:hAnsi="Times New Roman"/>
          <w:b/>
          <w:sz w:val="20"/>
        </w:rPr>
        <w:t>Figure 1. Equivalence (TOST) of the litigation-rate effect against ±1% and ±2% margins; horizontal bars are 90% confidence intervals.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p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-0.0005, +0.0009</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-0.0038, +0.0038</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-0.0033, +0.0014</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-1.000, +1.193</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confirming that size confounding and interpolation can create spurious associations. The JOCS-CP indicator was associated with obstetric hospital growth (coefficient +0.024; 95% CI +0.006, +0.042; p=0.013), consistent with a structural policy effect in the specialty most central to this debate.</w:t>
      </w:r>
    </w:p>
    <w:p>
      <w:pPr>
        <w:spacing w:before="280" w:after="120"/>
      </w:pPr>
      <w:r>
        <w:rPr>
          <w:rFonts w:ascii="Times New Roman" w:hAnsi="Times New Roman"/>
          <w:b/>
          <w:sz w:val="20"/>
        </w:rPr>
        <w:t>Figure 2. Biennial physician growth against lagged litigation exposure measured as (a) counts and (b) rates.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p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the JMSR medical accident investigation report counts as a potential confounder or competing exposure.</w:t>
      </w:r>
      <w:r>
        <w:rPr>
          <w:rFonts w:ascii="Times New Roman" w:hAnsi="Times New Roman"/>
          <w:sz w:val="20"/>
          <w:vertAlign w:val="superscript"/>
        </w:rPr>
        <w:t>[11]</w:t>
      </w:r>
      <w:r>
        <w:rPr>
          <w:rFonts w:ascii="Times New Roman" w:hAnsi="Times New Roman"/>
          <w:b w:val="0"/>
          <w:i w:val="0"/>
          <w:sz w:val="24"/>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4"/>
        </w:rPr>
        <w:t>Finally, we tested national newspaper coverage from Nikkei Telecom 21 as a potential confounder.</w:t>
      </w:r>
      <w:r>
        <w:rPr>
          <w:rFonts w:ascii="Times New Roman" w:hAnsi="Times New Roman"/>
          <w:sz w:val="20"/>
          <w:vertAlign w:val="superscript"/>
        </w:rPr>
        <w:t>[12]</w:t>
      </w:r>
      <w:r>
        <w:rPr>
          <w:rFonts w:ascii="Times New Roman" w:hAnsi="Times New Roman"/>
          <w:b w:val="0"/>
          <w:i w:val="0"/>
          <w:sz w:val="24"/>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physician observations, we found no association between specialty-level malpractice-litigation risk and subsequent physician or hospital decline. Equivalence testing turned this null into a positive statement: any effect of litigation risk on the biennial workforce is smaller than a pre-specified, policy-relevant margin. The widely held intuition—that physicians systematically abandon high-litigation specialties—is not supported by 16 years of official data.</w:t>
      </w:r>
    </w:p>
    <w:p>
      <w:pPr>
        <w:spacing w:line="480" w:lineRule="auto" w:after="120"/>
      </w:pPr>
      <w:r>
        <w:rPr>
          <w:rFonts w:ascii="Times New Roman" w:hAnsi="Times New Roman"/>
          <w:b w:val="0"/>
          <w:i w:val="0"/>
          <w:sz w:val="24"/>
        </w:rPr>
        <w:t>A null result is not merely a failure to detect an effect. The narrow confidence intervals and pre-specified equivalence margins allow us to say that, if litigation risk does influence specialty-level workforce growth, the magnitude is too small to matter for workforce planning. This is an important distinction for policy debates that treat malpractice pressure as a major driver of physician distribution.</w:t>
      </w:r>
    </w:p>
    <w:p>
      <w:pPr>
        <w:spacing w:line="480" w:lineRule="auto" w:after="120"/>
      </w:pPr>
      <w:r>
        <w:rPr>
          <w:rFonts w:ascii="Times New Roman" w:hAnsi="Times New Roman"/>
          <w:b w:val="0"/>
          <w:i w:val="0"/>
          <w:sz w:val="24"/>
        </w:rPr>
        <w:t>The raw-count sensitivity did not recover a negative association, showing that size confounding and interpolation can generate the appearance of a litigation-driven workforce decline. This underscores why rate-based, measured-only designs are preferable when testing litigation-workforce hypotheses.</w:t>
      </w:r>
    </w:p>
    <w:p>
      <w:pPr>
        <w:spacing w:line="480" w:lineRule="auto" w:after="120"/>
      </w:pPr>
      <w:r>
        <w:rPr>
          <w:rFonts w:ascii="Times New Roman" w:hAnsi="Times New Roman"/>
          <w:b w:val="0"/>
          <w:i w:val="0"/>
          <w:sz w:val="24"/>
        </w:rPr>
        <w:t>International evidence on tort reform and physician supply is consistent with a small or context-specific effect. Matsa found that U.S. state damage caps increased the supply of frontier rural specialists by 10-12 percent, but did not affect physician supply for the average resident.</w:t>
      </w:r>
      <w:r>
        <w:rPr>
          <w:rFonts w:ascii="Times New Roman" w:hAnsi="Times New Roman"/>
          <w:sz w:val="20"/>
          <w:vertAlign w:val="superscript"/>
        </w:rPr>
        <w:t>[14]</w:t>
      </w:r>
      <w:r>
        <w:rPr>
          <w:rFonts w:ascii="Times New Roman" w:hAnsi="Times New Roman"/>
          <w:b w:val="0"/>
          <w:i w:val="0"/>
          <w:sz w:val="24"/>
        </w:rPr>
        <w:t xml:space="preserve"> Hyman and colleagues, examining the 2003 Texas reforms, found no measurable increase in physician supply for high-malpractice-risk specialties, primary care, or rural physicians.</w:t>
      </w:r>
      <w:r>
        <w:rPr>
          <w:rFonts w:ascii="Times New Roman" w:hAnsi="Times New Roman"/>
          <w:sz w:val="20"/>
          <w:vertAlign w:val="superscript"/>
        </w:rPr>
        <w:t>[15]</w:t>
      </w:r>
      <w:r>
        <w:rPr>
          <w:rFonts w:ascii="Times New Roman" w:hAnsi="Times New Roman"/>
          <w:b w:val="0"/>
          <w:i w:val="0"/>
          <w:sz w:val="24"/>
        </w:rPr>
        <w:t xml:space="preserve"> Frakes and colleagues showed that negligence-standard reforms could shift the composition of the physician workforce toward surgery in some regions, yet the effect was localized and modest.</w:t>
      </w:r>
      <w:r>
        <w:rPr>
          <w:rFonts w:ascii="Times New Roman" w:hAnsi="Times New Roman"/>
          <w:sz w:val="20"/>
          <w:vertAlign w:val="superscript"/>
        </w:rPr>
        <w:t>[16]</w:t>
      </w:r>
      <w:r>
        <w:rPr>
          <w:rFonts w:ascii="Times New Roman" w:hAnsi="Times New Roman"/>
          <w:b w:val="0"/>
          <w:i w:val="0"/>
          <w:sz w:val="24"/>
        </w:rPr>
        <w:t xml:space="preserve"> Against this backdrop, a null effect of civil litigation risk on Japanese specialty supply is not surprising, especially in a system with comparatively low litigation volume and predictable damages.</w:t>
      </w:r>
    </w:p>
    <w:p>
      <w:pPr>
        <w:spacing w:line="480" w:lineRule="auto" w:after="120"/>
      </w:pPr>
      <w:r>
        <w:rPr>
          <w:rFonts w:ascii="Times New Roman" w:hAnsi="Times New Roman"/>
          <w:b w:val="0"/>
          <w:i w:val="0"/>
          <w:sz w:val="24"/>
        </w:rPr>
        <w:t>Even when litigation risk does not change the number of physicians, it may alter clinical behaviour through defensive medicine. Kessler and McClellan showed that U.S. malpractice reforms reduced medical expenditures for elderly heart-disease patients without increasing mortality or complications, suggesting that defensive practice is one margin of adjustment to liability pressure.</w:t>
      </w:r>
      <w:r>
        <w:rPr>
          <w:rFonts w:ascii="Times New Roman" w:hAnsi="Times New Roman"/>
          <w:sz w:val="20"/>
          <w:vertAlign w:val="superscript"/>
        </w:rPr>
        <w:t>[17]</w:t>
      </w:r>
      <w:r>
        <w:rPr>
          <w:rFonts w:ascii="Times New Roman" w:hAnsi="Times New Roman"/>
          <w:b w:val="0"/>
          <w:i w:val="0"/>
          <w:sz w:val="24"/>
        </w:rPr>
        <w:t xml:space="preserve"> Subsequent reassessments have debated the magnitude and robustness of this effect, but the conceptual point remains: physicians can respond to liability risk by changing how they practise rather than by exiting a specialty.</w:t>
      </w:r>
      <w:r>
        <w:rPr>
          <w:rFonts w:ascii="Times New Roman" w:hAnsi="Times New Roman"/>
          <w:sz w:val="20"/>
          <w:vertAlign w:val="superscript"/>
        </w:rPr>
        <w:t>[18]</w:t>
      </w:r>
      <w:r>
        <w:rPr>
          <w:rFonts w:ascii="Times New Roman" w:hAnsi="Times New Roman"/>
          <w:b w:val="0"/>
          <w:i w:val="0"/>
          <w:sz w:val="24"/>
        </w:rPr>
        <w:t xml:space="preserve"> In Japan, fee-for-service reimbursement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Japan's litigation environment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w:t>
      </w:r>
      <w:r>
        <w:rPr>
          <w:rFonts w:ascii="Times New Roman" w:hAnsi="Times New Roman"/>
          <w:sz w:val="20"/>
          <w:vertAlign w:val="superscript"/>
        </w:rPr>
        <w:t>[19]</w:t>
      </w:r>
      <w:r>
        <w:rPr>
          <w:rFonts w:ascii="Times New Roman" w:hAnsi="Times New Roman"/>
          <w:b w:val="0"/>
          <w:i w:val="0"/>
          <w:sz w:val="24"/>
        </w:rPr>
        <w:t xml:space="preserve"> The Court data we use therefore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The Japan Obstetric Compensation System for Cerebral Palsy (2009) illustrates a different mechanism. It was introduced partly because of a shortage of young obstetricians and regional gaps in maternity care, and it combined no-fault compensation with investigation and prevention.</w:t>
      </w:r>
      <w:r>
        <w:rPr>
          <w:rFonts w:ascii="Times New Roman" w:hAnsi="Times New Roman"/>
          <w:sz w:val="20"/>
          <w:vertAlign w:val="superscript"/>
        </w:rPr>
        <w:t>[20]</w:t>
      </w:r>
      <w:r>
        <w:rPr>
          <w:rFonts w:ascii="Times New Roman" w:hAnsi="Times New Roman"/>
          <w:b w:val="0"/>
          <w:i w:val="0"/>
          <w:sz w:val="24"/>
        </w:rPr>
        <w:t xml:space="preserve"> Our hospital-level JOCS-CP indicator is associated with obstetric hospital growth, suggesting that removing adversarial litigation pressure can support facility supply, although we cannot isolate the compensation effect from concurrent obstetric policies. Civil litigation exposure is also distinct from criminal prosecution. Morita exploited the 2004 Fukushima obstetrician prosecution and found a 13 percent decline in obstetricians, with some switching to gynaecology.</w:t>
      </w:r>
      <w:r>
        <w:rPr>
          <w:rFonts w:ascii="Times New Roman" w:hAnsi="Times New Roman"/>
          <w:sz w:val="20"/>
          <w:vertAlign w:val="superscript"/>
        </w:rPr>
        <w:t>[21]</w:t>
      </w:r>
      <w:r>
        <w:rPr>
          <w:rFonts w:ascii="Times New Roman" w:hAnsi="Times New Roman"/>
          <w:b w:val="0"/>
          <w:i w:val="0"/>
          <w:sz w:val="24"/>
        </w:rPr>
        <w:t xml:space="preserve">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comparison of Japanese and U.S. medical-legal claims in OB/GYN found that the proportion of malpractice claims in this specialty fell from 15.1 percent in 2004 to 5.2 percent in 2022, and that claims per 100 OB/GYN physicians fell from 0.9 in 2007 to 0.4 in 2016, while maternal and neonatal mortality also declined.</w:t>
      </w:r>
      <w:r>
        <w:rPr>
          <w:rFonts w:ascii="Times New Roman" w:hAnsi="Times New Roman"/>
          <w:sz w:val="20"/>
          <w:vertAlign w:val="superscript"/>
        </w:rPr>
        <w:t>[22]</w:t>
      </w:r>
      <w:r>
        <w:rPr>
          <w:rFonts w:ascii="Times New Roman" w:hAnsi="Times New Roman"/>
          <w:b w:val="0"/>
          <w:i w:val="0"/>
          <w:sz w:val="24"/>
        </w:rPr>
        <w:t xml:space="preserve">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w:t>
      </w:r>
      <w:r>
        <w:rPr>
          <w:rFonts w:ascii="Times New Roman" w:hAnsi="Times New Roman"/>
          <w:sz w:val="20"/>
          <w:vertAlign w:val="superscript"/>
        </w:rPr>
        <w:t>[23]</w:t>
      </w:r>
      <w:r>
        <w:rPr>
          <w:rFonts w:ascii="Times New Roman" w:hAnsi="Times New Roman"/>
          <w:b w:val="0"/>
          <w:i w:val="0"/>
          <w:sz w:val="24"/>
        </w:rPr>
        <w:t xml:space="preserve"> These findings echo our specialty-level result: litigation may matter for perceptions, but it is not the binding constraint on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lever for correcting specialty maldistribution in Japan. Structural incentives are more promising: no-fault compensation can de-risk high-acuity specialties, and payment design can reward service in underserved settings and activities. The JOCS-CP experience supports the former; Japan's fee-for-service schedule and rural/urban payment adjustments illustrate the latter. This is not to say that malpractice reform is irrelevant: it may influence defensive medicine, patient compensation, and provider-patient trust. But our evidence does not support the claim that lowering litigation risk will retain physicians in high-risk specialties, and litigation-avoidance messaging should not be the centrepiece of workforce policy.</w:t>
      </w:r>
    </w:p>
    <w:p>
      <w:pPr>
        <w:spacing w:line="480" w:lineRule="auto" w:after="120"/>
      </w:pPr>
      <w:r>
        <w:rPr>
          <w:rFonts w:ascii="Times New Roman" w:hAnsi="Times New Roman"/>
          <w:b w:val="0"/>
          <w:i w:val="0"/>
          <w:sz w:val="24"/>
        </w:rPr>
        <w:t>International experience with no-fault compensation is consistent with this policy orientation. New Zealand replaced tort-based medical-injury compensation with a government-funded no-fault scheme in 1974 and, after 2005 reforms, extended coverage to all treatment injuries; this separated compensation from negligence findings and largely barred malpractice litigation.</w:t>
      </w:r>
      <w:r>
        <w:rPr>
          <w:rFonts w:ascii="Times New Roman" w:hAnsi="Times New Roman"/>
          <w:sz w:val="20"/>
          <w:vertAlign w:val="superscript"/>
        </w:rPr>
        <w:t>[24]</w:t>
      </w:r>
      <w:r>
        <w:rPr>
          <w:rFonts w:ascii="Times New Roman" w:hAnsi="Times New Roman"/>
          <w:b w:val="0"/>
          <w:i w:val="0"/>
          <w:sz w:val="24"/>
        </w:rPr>
        <w:t xml:space="preserve"> Sweden and Denmark operate similar administrative systems in which neutral experts evaluate claims without requiring proof of provider fault, improving injured patients' access to redress while controlling liability costs and generating patient-safety learning.</w:t>
      </w:r>
      <w:r>
        <w:rPr>
          <w:rFonts w:ascii="Times New Roman" w:hAnsi="Times New Roman"/>
          <w:sz w:val="20"/>
          <w:vertAlign w:val="superscript"/>
        </w:rPr>
        <w:t>[25]</w:t>
      </w:r>
      <w:r>
        <w:rPr>
          <w:rFonts w:ascii="Times New Roman" w:hAnsi="Times New Roman"/>
          <w:b w:val="0"/>
          <w:i w:val="0"/>
          <w:sz w:val="24"/>
        </w:rPr>
        <w:t xml:space="preserve"> The JOCS-CP is narrower in scope—it covers only obstetric cerebral palsy—but it moves in the same direction: it provides compensation and cause analysis without a protracted adversarial process. Extending such an approach more broadly would offer a structural alternative to the recurring call to reduce malpractice litigation as a workforce strategy.</w:t>
      </w:r>
    </w:p>
    <w:p>
      <w:pPr>
        <w:spacing w:line="480" w:lineRule="auto" w:after="120"/>
      </w:pPr>
      <w:r>
        <w:rPr>
          <w:rFonts w:ascii="Times New Roman" w:hAnsi="Times New Roman"/>
          <w:b w:val="0"/>
          <w:i w:val="0"/>
          <w:sz w:val="24"/>
        </w:rPr>
        <w:t>Several questions remain for future research. We cannot observe individual physicians' risk perceptions, career intentions, or responses to media coverage of high-profile cases. The closed-claim rate is an objective exposure measure, but it may not capture the perceived risk that drives specialty choice, especially when criminal prosecutions or sensational media coverage shape beliefs. Helland and Seabury's review concludes that tort reform effects on physician supply are heterogeneous across states and specialties, and that more granular, state-specific designs are needed to settle the question in the U.S. context.</w:t>
      </w:r>
      <w:r>
        <w:rPr>
          <w:rFonts w:ascii="Times New Roman" w:hAnsi="Times New Roman"/>
          <w:sz w:val="20"/>
          <w:vertAlign w:val="superscript"/>
        </w:rPr>
        <w:t>[26]</w:t>
      </w:r>
      <w:r>
        <w:rPr>
          <w:rFonts w:ascii="Times New Roman" w:hAnsi="Times New Roman"/>
          <w:b w:val="0"/>
          <w:i w:val="0"/>
          <w:sz w:val="24"/>
        </w:rPr>
        <w:t xml:space="preserve"> Applying similar logic in Japan would require individual-level or prefecture-level career data linked to local litigation, media, and reimbursement environments. Until then, the present specialty-level rate analysis provides the most systematic evidence available on the central policy question: whether malpractice litigation risk drives physicians away from high-risk specialties. The answer is that it does not, at least not in a way that is detectable or policy-relevant in 16 years of national data.</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speak to individual career decisions. The physician census is biennial, giving 9 measured waves; we addressed the limited power directly through equivalence testing and by pooling across specialties, but residual power constraints remain and the equivalence margins are a judgement.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w:t>
      </w:r>
      <w:r>
        <w:rPr>
          <w:rFonts w:ascii="Times New Roman" w:hAnsi="Times New Roman"/>
          <w:sz w:val="20"/>
          <w:vertAlign w:val="superscript"/>
        </w:rPr>
        <w:t>[9]</w:t>
      </w:r>
      <w:r>
        <w:rPr>
          <w:rFonts w:ascii="Times New Roman" w:hAnsi="Times New Roman"/>
          <w:b w:val="0"/>
          <w:i w:val="0"/>
          <w:sz w:val="24"/>
        </w:rPr>
        <w:t xml:space="preserve"> Finally, these findings are embedded in Japan's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in Japan was not associated with physician or hospital decline, and the effect was statistically equivalent to null within a small margin. Policies to counter specialty maldistribution should focus on structural incentives, especially no-fault compensation, rather than on the assumption that reducing litigation will retain physicians in high-risk specialties.</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Funding: none. Competing interests: none declared. Declaration of generative AI use: Generative AI and AI-assisted technologies were used to assist with coding, data analysis, figure generation, and manuscript drafting; the authors verified all outputs. Data and code availability: all primary data files, extraction scripts and analysis code are openly available in the project repository, enabling full reproduction of every reported number. CRediT author contribution statement: see title page.</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2020;251(1):1-8.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Yoshihara M, Tanaka S, Urabe Y, Ikegami Y, Fukuhara T, Chayama K. Defensive medicine practices among gastroenterologists in Japan. World J Gastroenterol. 2006;12(47):7671-7675.</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2007;36(S2):S143-S182.</w:t>
      </w:r>
    </w:p>
    <w:p>
      <w:pPr>
        <w:spacing w:line="360" w:lineRule="auto"/>
      </w:pPr>
      <w:r>
        <w:rPr>
          <w:rFonts w:ascii="Times New Roman" w:hAnsi="Times New Roman"/>
          <w:sz w:val="20"/>
        </w:rPr>
        <w:t>15. Hyman DA, Silver C, Black B, Paik M. Does tort reform affect physician supply? Evidence from Texas. Int Rev Law Econ. 2015;42:203-218.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2020;70:102272.</w:t>
      </w:r>
    </w:p>
    <w:p>
      <w:pPr>
        <w:spacing w:line="360" w:lineRule="auto"/>
      </w:pPr>
      <w:r>
        <w:rPr>
          <w:rFonts w:ascii="Times New Roman" w:hAnsi="Times New Roman"/>
          <w:sz w:val="20"/>
        </w:rPr>
        <w:t>17. Kessler DP, McClellan MB. Do doctors practice defensive medicine?. Q J Econ. 1996;111(2):353-390.</w:t>
      </w:r>
    </w:p>
    <w:p>
      <w:pPr>
        <w:spacing w:line="360" w:lineRule="auto"/>
      </w:pPr>
      <w:r>
        <w:rPr>
          <w:rFonts w:ascii="Times New Roman" w:hAnsi="Times New Roman"/>
          <w:sz w:val="20"/>
        </w:rPr>
        <w:t>18. Sloan FA, Shadle JH. Is there empirical evidence for "Defensive Medicine"? A reassessment. J Health Econ. 2008;27(2):481-491.</w:t>
      </w:r>
    </w:p>
    <w:p>
      <w:pPr>
        <w:spacing w:line="360" w:lineRule="auto"/>
      </w:pPr>
      <w:r>
        <w:rPr>
          <w:rFonts w:ascii="Times New Roman" w:hAnsi="Times New Roman"/>
          <w:sz w:val="20"/>
        </w:rPr>
        <w:t>19. Taniguchi K, Watari T, Nagoshi K. Characteristics and trends of medical malpractice claims in Japan between 2006 and 2021. PLoS One. 2023;18(12):e0296155.</w:t>
      </w:r>
    </w:p>
    <w:p>
      <w:pPr>
        <w:spacing w:line="360" w:lineRule="auto"/>
      </w:pPr>
      <w:r>
        <w:rPr>
          <w:rFonts w:ascii="Times New Roman" w:hAnsi="Times New Roman"/>
          <w:sz w:val="20"/>
        </w:rPr>
        <w:t>20.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21. Morita H. Criminal prosecution and physician supply. Int Rev Law Econ. 2018;55:1-11.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2025;44(4):5-11.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24.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25. Mello MM, Kachalia A, Studdert DM. Administrative compensation for medical injuries: lessons from three foreign systems. New York: The Commonwealth Fund; 2011.</w:t>
      </w:r>
    </w:p>
    <w:p>
      <w:pPr>
        <w:spacing w:line="360" w:lineRule="auto"/>
      </w:pPr>
      <w:r>
        <w:rPr>
          <w:rFonts w:ascii="Times New Roman" w:hAnsi="Times New Roman"/>
          <w:sz w:val="20"/>
        </w:rPr>
        <w:t>26. Helland E, Seabury SA. Tort reform and physician labor supply: a review of the evidence. Int Rev Law Econ. 2015;42:192-202.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