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Litigation is widely assumed to drive physicians from high-risk specialties.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Using rate-based panel data for 12 Japanese specialties, we find no such association.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 testing supports a null effect within policy-relevant margins.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A no-fault obstetric compensation scheme coincided with obstetric hospital growth.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Policy should target structural incentives, not litigation-avoidance messaging.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