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and hospital supply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0"/>
        </w:rPr>
        <w:t>Objectives: To test whether specialty-level malpractice-litigation risk predicts later physician and hospital decline, addressing concern that litigation drives physicians away from high-risk specialties. Methods: Using national primary data for 12 specialties (2008–2024), we measured exposure as closed malpractice claims per 1,000 physicians (rate, not count) and regressed the biennial log-change in physicians and hospitals on the lagged litigation rate in a panel with specialty and wave fixed effects, cluster-robust errors, equivalence tests, and sensitivity analyses. Results: The physician workforce grew in 11 of 12 specialties; Surgery, which changed by -2.3%, was the only exception. Litigation risk was not associated with physician growth (coefficient -0.0009 per claim per 1,000 physicians; 95% CI -0.0043 to +0.0025; p=0.56)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Conclusions: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line="480" w:lineRule="auto" w:after="120"/>
      </w:pPr>
      <w:r>
        <w:rPr>
          <w:rFonts w:ascii="Times New Roman" w:hAnsi="Times New Roman"/>
          <w:sz w:val="20"/>
        </w:rPr>
        <w:t>Public Interest Summary: Many people assume that doctors avoid specialties where they are more likely to be sued. We tested this idea using 16 years of official Japanese data on lawsuits, doctors and hospitals. Once specialty size is accounted for, litigation risk was not linked to any decline in doctors or hospitals, and statistical tests confirmed the effect is essentially zero. Policies aimed at specialty shortages should focus on incentives such as no-fault compensation rather than on reducing litigation.</w:t>
      </w:r>
    </w:p>
    <w:p>
      <w:pPr>
        <w:spacing w:after="360"/>
      </w:pPr>
      <w:r>
        <w:rPr>
          <w:rFonts w:ascii="Times New Roman" w:hAnsi="Times New Roman"/>
          <w:b/>
        </w:rPr>
        <w:t xml:space="preserve">Keywords: </w:t>
      </w:r>
      <w:r>
        <w:rPr>
          <w:rFonts w:ascii="Times New Roman" w:hAnsi="Times New Roman"/>
          <w:b w:val="0"/>
          <w:i w:val="0"/>
          <w:sz w:val="20"/>
        </w:rPr>
        <w:t>malpractice litigation; physician workforce; specialty maldistribution; equivalence testing; health policy;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0"/>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0"/>
          <w:vertAlign w:val="superscript"/>
        </w:rPr>
        <w:t>[1]</w:t>
      </w:r>
      <w:r>
        <w:rPr>
          <w:rFonts w:ascii="Times New Roman" w:hAnsi="Times New Roman"/>
          <w:b w:val="0"/>
          <w:i w:val="0"/>
          <w:sz w:val="20"/>
        </w:rPr>
        <w:t xml:space="preserve"> A recurring policy intuition is that medical safety incidents and the threat of malpractice litigation push physicians away from high-risk specialties toward lower-risk practice.</w:t>
      </w:r>
      <w:r>
        <w:rPr>
          <w:rFonts w:ascii="Times New Roman" w:hAnsi="Times New Roman"/>
          <w:sz w:val="20"/>
          <w:vertAlign w:val="superscript"/>
        </w:rPr>
        <w:t>[2-3]</w:t>
      </w:r>
      <w:r>
        <w:rPr>
          <w:rFonts w:ascii="Times New Roman" w:hAnsi="Times New Roman"/>
          <w:b w:val="0"/>
          <w:i w:val="0"/>
          <w:sz w:val="20"/>
        </w:rPr>
        <w:t xml:space="preserve"> If true, reducing litigation exposure would be a lever against maldistribution.</w:t>
      </w:r>
    </w:p>
    <w:p>
      <w:pPr>
        <w:spacing w:line="480" w:lineRule="auto" w:after="120"/>
      </w:pPr>
      <w:r>
        <w:rPr>
          <w:rFonts w:ascii="Times New Roman" w:hAnsi="Times New Roman"/>
          <w:b w:val="0"/>
          <w:i w:val="0"/>
          <w:sz w:val="20"/>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0"/>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0"/>
          <w:vertAlign w:val="superscript"/>
        </w:rPr>
        <w:t>[4-5]</w:t>
      </w:r>
      <w:r>
        <w:rPr>
          <w:rFonts w:ascii="Times New Roman" w:hAnsi="Times New Roman"/>
          <w:b w:val="0"/>
          <w:i w:val="0"/>
          <w:sz w:val="20"/>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0"/>
          <w:vertAlign w:val="superscript"/>
        </w:rPr>
        <w:t>[6]</w:t>
      </w:r>
    </w:p>
    <w:p>
      <w:pPr>
        <w:spacing w:line="480" w:lineRule="auto" w:after="120"/>
      </w:pPr>
      <w:r>
        <w:rPr>
          <w:rFonts w:ascii="Times New Roman" w:hAnsi="Times New Roman"/>
          <w:b w:val="0"/>
          <w:i w:val="0"/>
          <w:sz w:val="20"/>
        </w:rPr>
        <w:t>Litigation reform is only one of the policy instruments available to health systems managing specialty supply. Japan already deploys several others: no-fault compensation (the JOCS-CP), a fee-for-service reimbursement schedule that prices high-acuity procedural work, regional and setting-specific payment adjustments, and the postgraduate specialty training system that channels new physicians into accredited programmes. Framing malpractice pressure alongside these instruments matters because the relative leverage of litigation reform—versus compensation design, payment incentives and training pipelines—determines where workforce policy should intervene.</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0"/>
        </w:rPr>
        <w:t>We report this observational study following the Strengthening the Reporting of Observational Studies in Epidemiology (STROBE) guidance.</w:t>
      </w:r>
      <w:r>
        <w:rPr>
          <w:rFonts w:ascii="Times New Roman" w:hAnsi="Times New Roman"/>
          <w:sz w:val="20"/>
          <w:vertAlign w:val="superscript"/>
        </w:rPr>
        <w:t>[7]</w:t>
      </w:r>
      <w:r>
        <w:rPr>
          <w:rFonts w:ascii="Times New Roman" w:hAnsi="Times New Roman"/>
          <w:b w:val="0"/>
          <w:i w:val="0"/>
          <w:sz w:val="20"/>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0"/>
          <w:vertAlign w:val="superscript"/>
        </w:rPr>
        <w:t>[8]</w:t>
      </w:r>
      <w:r>
        <w:rPr>
          <w:rFonts w:ascii="Times New Roman" w:hAnsi="Times New Roman"/>
          <w:b w:val="0"/>
          <w:i w:val="0"/>
          <w:sz w:val="20"/>
        </w:rPr>
        <w:t>; closed malpractice claims by specialty from the Supreme Court of Japan</w:t>
      </w:r>
      <w:r>
        <w:rPr>
          <w:rFonts w:ascii="Times New Roman" w:hAnsi="Times New Roman"/>
          <w:sz w:val="20"/>
          <w:vertAlign w:val="superscript"/>
        </w:rPr>
        <w:t>[9]</w:t>
      </w:r>
      <w:r>
        <w:rPr>
          <w:rFonts w:ascii="Times New Roman" w:hAnsi="Times New Roman"/>
          <w:b w:val="0"/>
          <w:i w:val="0"/>
          <w:sz w:val="20"/>
        </w:rPr>
        <w:t>; and hospital counts by specialty from the annual Survey of Medical Institutions</w:t>
      </w:r>
      <w:r>
        <w:rPr>
          <w:rFonts w:ascii="Times New Roman" w:hAnsi="Times New Roman"/>
          <w:sz w:val="20"/>
          <w:vertAlign w:val="superscript"/>
        </w:rPr>
        <w:t>[10]</w:t>
      </w:r>
      <w:r>
        <w:rPr>
          <w:rFonts w:ascii="Times New Roman" w:hAnsi="Times New Roman"/>
          <w:b w:val="0"/>
          <w:i w:val="0"/>
          <w:sz w:val="20"/>
        </w:rPr>
        <w:t>. Two sensitivity series were also used: annual medical accident investigation reports by specialty from the Japan Medical Safety Research Organisation (JMSR, 2015-2025)</w:t>
      </w:r>
      <w:r>
        <w:rPr>
          <w:rFonts w:ascii="Times New Roman" w:hAnsi="Times New Roman"/>
          <w:sz w:val="20"/>
          <w:vertAlign w:val="superscript"/>
        </w:rPr>
        <w:t>[11]</w:t>
      </w:r>
      <w:r>
        <w:rPr>
          <w:rFonts w:ascii="Times New Roman" w:hAnsi="Times New Roman"/>
          <w:b w:val="0"/>
          <w:i w:val="0"/>
          <w:sz w:val="20"/>
        </w:rPr>
        <w:t xml:space="preserve"> and total national newspaper article counts from Nikkei Telecom 21 (2009–2018; keywords: medical accident + medical malpractice).</w:t>
      </w:r>
      <w:r>
        <w:rPr>
          <w:rFonts w:ascii="Times New Roman" w:hAnsi="Times New Roman"/>
          <w:sz w:val="20"/>
          <w:vertAlign w:val="superscript"/>
        </w:rPr>
        <w:t>[12]</w:t>
      </w:r>
      <w:r>
        <w:rPr>
          <w:rFonts w:ascii="Times New Roman" w:hAnsi="Times New Roman"/>
          <w:b w:val="0"/>
          <w:i w:val="0"/>
          <w:sz w:val="20"/>
        </w:rPr>
        <w:t xml:space="preserve"> The full extraction pipeline (with source identifiers and SHA-256 checksums) is documented in the accompanying repository.</w:t>
      </w:r>
    </w:p>
    <w:p>
      <w:pPr>
        <w:spacing w:line="480" w:lineRule="auto" w:after="120"/>
      </w:pPr>
      <w:r>
        <w:rPr>
          <w:rFonts w:ascii="Times New Roman" w:hAnsi="Times New Roman"/>
          <w:b w:val="0"/>
          <w:i w:val="0"/>
          <w:sz w:val="20"/>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0"/>
          <w:vertAlign w:val="superscript"/>
        </w:rPr>
        <w:t>[9]</w:t>
      </w:r>
      <w:r>
        <w:rPr>
          <w:rFonts w:ascii="Times New Roman" w:hAnsi="Times New Roman"/>
          <w:b w:val="0"/>
          <w:i w:val="0"/>
          <w:sz w:val="20"/>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0"/>
          <w:vertAlign w:val="superscript"/>
        </w:rPr>
        <w:t>[11]</w:t>
      </w:r>
      <w:r>
        <w:rPr>
          <w:rFonts w:ascii="Times New Roman" w:hAnsi="Times New Roman"/>
          <w:b w:val="0"/>
          <w:i w:val="0"/>
          <w:sz w:val="20"/>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0"/>
        </w:rPr>
        <w:t>The exposure was the litigation rate: closed claims per 1,000 physicians in each specialty-year. Scaling by the number of physicians removes the mechanical link between specialty size and claim counts.</w:t>
      </w:r>
    </w:p>
    <w:p>
      <w:pPr>
        <w:spacing w:before="0" w:after="120"/>
        <w:jc w:val="center"/>
      </w:pPr>
      <m:oMath>
        <m:sSub>
          <m:e>
            <m:r>
              <m:t>l</m:t>
            </m:r>
          </m:e>
          <m:sub>
            <m:r>
              <m:t>s,t</m:t>
            </m:r>
          </m:sub>
        </m:sSub>
        <m:r>
          <m:t> = (</m:t>
        </m:r>
        <m:f>
          <m:num>
            <m:sSub>
              <m:e>
                <m:r>
                  <m:t>C</m:t>
                </m:r>
              </m:e>
              <m:sub>
                <m:r>
                  <m:t>s,t</m:t>
                </m:r>
              </m:sub>
            </m:sSub>
          </m:num>
          <m:den>
            <m:sSub>
              <m:e>
                <m:r>
                  <m:t>P</m:t>
                </m:r>
              </m:e>
              <m:sub>
                <m:r>
                  <m:t>s,t</m:t>
                </m:r>
              </m:sub>
            </m:sSub>
          </m:den>
        </m:f>
        <m:r>
          <m:t>) × 1000</m:t>
        </m:r>
      </m:oMath>
    </w:p>
    <w:p>
      <w:pPr>
        <w:spacing w:line="480" w:lineRule="auto" w:after="120"/>
      </w:pPr>
      <w:r>
        <w:rPr>
          <w:rFonts w:ascii="Times New Roman" w:hAnsi="Times New Roman"/>
          <w:b w:val="0"/>
          <w:i w:val="0"/>
          <w:sz w:val="20"/>
        </w:rPr>
        <w:t>where C is the number of closed claims, P is the physician count, and s and t index specialties and years.</w:t>
      </w:r>
    </w:p>
    <w:p>
      <w:pPr>
        <w:spacing w:line="480" w:lineRule="auto" w:after="120"/>
      </w:pPr>
      <w:r>
        <w:rPr>
          <w:rFonts w:ascii="Times New Roman" w:hAnsi="Times New Roman"/>
          <w:b w:val="0"/>
          <w:i w:val="0"/>
          <w:sz w:val="20"/>
        </w:rPr>
        <w:t>The primary analysis used the 9 measured biennial physician waves (2008–2024). For each specialty we computed the biennial log-change in physician (or hospital) counts and regressed it on the litigation rate at the start of the interval, in a panel with specialty and wave fixed effects and standard errors clustered by specialty.</w:t>
      </w:r>
      <w:r>
        <w:rPr>
          <w:rFonts w:ascii="Times New Roman" w:hAnsi="Times New Roman"/>
          <w:sz w:val="20"/>
          <w:vertAlign w:val="superscript"/>
        </w:rPr>
        <w:t>[13]</w:t>
      </w:r>
      <w:r>
        <w:rPr>
          <w:rFonts w:ascii="Times New Roman" w:hAnsi="Times New Roman"/>
          <w:b w:val="0"/>
          <w:i w:val="0"/>
          <w:sz w:val="20"/>
        </w:rPr>
        <w:t xml:space="preserve"> Fixed effects absorb time-invariant specialty characteristics and common shocks, so identification comes from within-specialty deviations in litigation rate over time.</w:t>
      </w:r>
    </w:p>
    <w:p>
      <w:pPr>
        <w:spacing w:before="0" w:after="120"/>
        <w:jc w:val="center"/>
      </w:pPr>
      <m:oMath>
        <m:r>
          <m:t>Δ ln </m:t>
        </m:r>
        <m:sSub>
          <m:e>
            <m:r>
              <m:t>Y</m:t>
            </m:r>
          </m:e>
          <m:sub>
            <m:r>
              <m:t>s,t</m:t>
            </m:r>
          </m:sub>
        </m:sSub>
        <m:r>
          <m:t> = </m:t>
        </m:r>
        <m:sSub>
          <m:e>
            <m:r>
              <m:t>α</m:t>
            </m:r>
          </m:e>
          <m:sub>
            <m:r>
              <m:t>s</m:t>
            </m:r>
          </m:sub>
        </m:sSub>
        <m:r>
          <m:t> + </m:t>
        </m:r>
        <m:sSub>
          <m:e>
            <m:r>
              <m:t>γ</m:t>
            </m:r>
          </m:e>
          <m:sub>
            <m:r>
              <m:t>t</m:t>
            </m:r>
          </m:sub>
        </m:sSub>
        <m:r>
          <m:t> + </m:t>
        </m:r>
        <m:r>
          <m:t>β</m:t>
        </m:r>
        <m:sSub>
          <m:e>
            <m:r>
              <m:t>l</m:t>
            </m:r>
          </m:e>
          <m:sub>
            <m:r>
              <m:t>s,t-1</m:t>
            </m:r>
          </m:sub>
        </m:sSub>
        <m:r>
          <m:t> + </m:t>
        </m:r>
        <m:r>
          <m:t>δ</m:t>
        </m:r>
        <m:sSub>
          <m:e>
            <m:r>
              <m:t>J</m:t>
            </m:r>
          </m:e>
          <m:sub>
            <m:r>
              <m:t>s,t</m:t>
            </m:r>
          </m:sub>
        </m:sSub>
        <m:r>
          <m:t> + </m:t>
        </m:r>
        <m:sSub>
          <m:e>
            <m:r>
              <m:t>ε</m:t>
            </m:r>
          </m:e>
          <m:sub>
            <m:r>
              <m:t>s,t</m:t>
            </m:r>
          </m:sub>
        </m:sSub>
      </m:oMath>
    </w:p>
    <w:p>
      <w:pPr>
        <w:spacing w:line="480" w:lineRule="auto" w:after="120"/>
      </w:pPr>
      <w:r>
        <w:rPr>
          <w:rFonts w:ascii="Times New Roman" w:hAnsi="Times New Roman"/>
          <w:b w:val="0"/>
          <w:i w:val="0"/>
          <w:sz w:val="20"/>
        </w:rPr>
        <w:t>where ΔlnY is the biennial log-change in physicians or hospitals, α and γ are specialty and wave fixed effects, l is the one-interval-lagged litigation rate, J is the JOCS-CP indicator for obstetrics and gynaecology from January 2009 onward, and ε is the error term clustered by specialty.</w:t>
      </w:r>
    </w:p>
    <w:p>
      <w:pPr>
        <w:spacing w:line="480" w:lineRule="auto" w:after="120"/>
      </w:pPr>
      <w:r>
        <w:rPr>
          <w:rFonts w:ascii="Times New Roman" w:hAnsi="Times New Roman"/>
          <w:b w:val="0"/>
          <w:i w:val="0"/>
          <w:sz w:val="20"/>
        </w:rPr>
        <w:t>We assessed equivalence to a null effect using two one-sided tests (TOST).</w:t>
      </w:r>
      <w:r>
        <w:rPr>
          <w:rFonts w:ascii="Times New Roman" w:hAnsi="Times New Roman"/>
          <w:sz w:val="20"/>
          <w:vertAlign w:val="superscript"/>
        </w:rPr>
        <w:t>[4-5]</w:t>
      </w:r>
      <w:r>
        <w:rPr>
          <w:rFonts w:ascii="Times New Roman" w:hAnsi="Times New Roman"/>
          <w:b w:val="0"/>
          <w:i w:val="0"/>
          <w:sz w:val="20"/>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0"/>
          <w:vertAlign w:val="superscript"/>
        </w:rPr>
        <w:t>[6]</w:t>
      </w:r>
      <w:r>
        <w:rPr>
          <w:rFonts w:ascii="Times New Roman" w:hAnsi="Times New Roman"/>
          <w:b w:val="0"/>
          <w:i w:val="0"/>
          <w:sz w:val="20"/>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These last two tests evaluate whether the litigation coefficient is confounded by or collinear with broader accident reporting or media coverage. Because the primary analyses are confirmatory and null, we did not adjust for multiplicity and interpret the single secondary association (the JOCS-CP indicator) as exploratory. Analyses used Python (statsmodels); code and data are openly available.</w:t>
      </w:r>
    </w:p>
    <w:p>
      <w:pPr>
        <w:spacing w:before="0" w:after="120"/>
        <w:jc w:val="center"/>
      </w:pPr>
      <m:oMath>
        <m:sSub>
          <m:e>
            <m:r>
              <m:t>H</m:t>
            </m:r>
          </m:e>
          <m:sub>
            <m:r>
              <m:t>01</m:t>
            </m:r>
          </m:sub>
        </m:sSub>
        <m:r>
          <m:t>: β ≤ -m    </m:t>
        </m:r>
        <m:sSub>
          <m:e>
            <m:r>
              <m:t>H</m:t>
            </m:r>
          </m:e>
          <m:sub>
            <m:r>
              <m:t>02</m:t>
            </m:r>
          </m:sub>
        </m:sSub>
        <m:r>
          <m:t>: β ≥ m</m:t>
        </m:r>
      </m:oMath>
    </w:p>
    <w:p>
      <w:pPr>
        <w:spacing w:line="480" w:lineRule="auto" w:after="120"/>
      </w:pPr>
      <w:r>
        <w:rPr>
          <w:rFonts w:ascii="Times New Roman" w:hAnsi="Times New Roman"/>
          <w:b w:val="0"/>
          <w:i w:val="0"/>
          <w:sz w:val="20"/>
        </w:rPr>
        <w:t>For physician growth m = 1%; for hospital growth m = 2%. Rejecting both one-sided nulls supports the equivalence conclusion |β|&lt;m.</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0"/>
        </w:rPr>
        <w:t>Litigation rates per 1,000 physicians varied several-fold across specialties and fell over time in 10 of 12 fields (Supplementary Figure 1). Over the same period the physician workforce grew in 11 of 12 specialties (Supplementary Figure 2; Table 1); Surgery, which changed by -2.3%, was the only exception. Exposure and workforce therefore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0"/>
        </w:rPr>
        <w:t>The lagged litigation rate was not associated with biennial physician growth (coefficient -0.0009; 95% CI -0.0043 to +0.0025; p=0.56; n=96) or with hospital growth (coefficient +0.0003; 95% CI -0.0050 to +0.0056; p=0.90; n=96).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0"/>
        </w:rPr>
        <w:t>Using raw litigation counts rather than rates did not recover a negative association in this measured-only design (p=0.51). Figure 2 illustrates the difference between the two exposure definitions: a count exposure is confounded by specialty size (panel a), whereas the size-adjusted rate is not (panel b). The annual hospital and the interpolated annual physician sensitivity analyses were also null (p=0.99 and p=0.39), confirming that size confounding and interpolation can create spurious associations. The JOCS-CP indicator was associated with obstetric hospital growth (coefficient +0.024; 95% CI +0.006, +0.042; p=0.013), consistent with a structural policy effect in the specialty most central to this debate.</w:t>
      </w:r>
    </w:p>
    <w:p>
      <w:pPr>
        <w:spacing w:line="480" w:lineRule="auto" w:after="120"/>
      </w:pPr>
      <w:r>
        <w:rPr>
          <w:rFonts w:ascii="Times New Roman" w:hAnsi="Times New Roman"/>
          <w:b w:val="0"/>
          <w:i w:val="0"/>
          <w:sz w:val="20"/>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0"/>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0"/>
        </w:rPr>
        <w:t>We also evaluated the JMSR medical accident investigation report counts as a potential confounder or competing exposure.</w:t>
      </w:r>
      <w:r>
        <w:rPr>
          <w:rFonts w:ascii="Times New Roman" w:hAnsi="Times New Roman"/>
          <w:sz w:val="20"/>
          <w:vertAlign w:val="superscript"/>
        </w:rPr>
        <w:t>[11]</w:t>
      </w:r>
      <w:r>
        <w:rPr>
          <w:rFonts w:ascii="Times New Roman" w:hAnsi="Times New Roman"/>
          <w:b w:val="0"/>
          <w:i w:val="0"/>
          <w:sz w:val="20"/>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95% CI -0.0020, +0.0062; p=0.28)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0"/>
        </w:rPr>
        <w:t>Finally, we tested national newspaper coverage from Nikkei Telecom 21 as a potential confounder.</w:t>
      </w:r>
      <w:r>
        <w:rPr>
          <w:rFonts w:ascii="Times New Roman" w:hAnsi="Times New Roman"/>
          <w:sz w:val="20"/>
          <w:vertAlign w:val="superscript"/>
        </w:rPr>
        <w:t>[12]</w:t>
      </w:r>
      <w:r>
        <w:rPr>
          <w:rFonts w:ascii="Times New Roman" w:hAnsi="Times New Roman"/>
          <w:b w:val="0"/>
          <w:i w:val="0"/>
          <w:sz w:val="20"/>
        </w:rPr>
        <w:t xml:space="preserve"> Total annual article counts (keywords: medical accident + medical malpractice)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(coefficient -0.0003; 95% CI -0.0021, +0.0015; p=0.72) and the media term was not associated with hospital growth (p=0.21; Supplementary Table 4). Media coverage therefore does not account for the null litigation effect either.</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0"/>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0"/>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0"/>
        </w:rPr>
        <w:t>The raw-count sensitivity did not recover a negative association, showing that size confounding and interpolation can generate the appearance of a litigation-driven workforce decline. This underscores why rate-based, measured-only designs are preferable when testing litigation-workforce hypotheses.</w:t>
      </w:r>
    </w:p>
    <w:p>
      <w:pPr>
        <w:spacing w:line="480" w:lineRule="auto" w:after="120"/>
      </w:pPr>
      <w:r>
        <w:rPr>
          <w:rFonts w:ascii="Times New Roman" w:hAnsi="Times New Roman"/>
          <w:b w:val="0"/>
          <w:i w:val="0"/>
          <w:sz w:val="20"/>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0"/>
          <w:vertAlign w:val="superscript"/>
        </w:rPr>
        <w:t>[14]</w:t>
      </w:r>
      <w:r>
        <w:rPr>
          <w:rFonts w:ascii="Times New Roman" w:hAnsi="Times New Roman"/>
          <w:b w:val="0"/>
          <w:i w:val="0"/>
          <w:sz w:val="20"/>
        </w:rPr>
        <w:t xml:space="preserve"> Hyman and colleagues, examining the 2003 Texas reforms, found no measurable increase in physician supply for high-malpractice-risk specialties, primary care, or rural physicians.</w:t>
      </w:r>
      <w:r>
        <w:rPr>
          <w:rFonts w:ascii="Times New Roman" w:hAnsi="Times New Roman"/>
          <w:sz w:val="20"/>
          <w:vertAlign w:val="superscript"/>
        </w:rPr>
        <w:t>[15]</w:t>
      </w:r>
      <w:r>
        <w:rPr>
          <w:rFonts w:ascii="Times New Roman" w:hAnsi="Times New Roman"/>
          <w:b w:val="0"/>
          <w:i w:val="0"/>
          <w:sz w:val="20"/>
        </w:rPr>
        <w:t xml:space="preserve"> Frakes and colleagues showed that negligence-standard reforms could shift the composition of the physician workforce toward surgery in some regions, yet the effect was localized and modest.</w:t>
      </w:r>
      <w:r>
        <w:rPr>
          <w:rFonts w:ascii="Times New Roman" w:hAnsi="Times New Roman"/>
          <w:sz w:val="20"/>
          <w:vertAlign w:val="superscript"/>
        </w:rPr>
        <w:t>[16]</w:t>
      </w:r>
      <w:r>
        <w:rPr>
          <w:rFonts w:ascii="Times New Roman" w:hAnsi="Times New Roman"/>
          <w:b w:val="0"/>
          <w:i w:val="0"/>
          <w:sz w:val="20"/>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0"/>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0"/>
          <w:vertAlign w:val="superscript"/>
        </w:rPr>
        <w:t>[17]</w:t>
      </w:r>
      <w:r>
        <w:rPr>
          <w:rFonts w:ascii="Times New Roman" w:hAnsi="Times New Roman"/>
          <w:b w:val="0"/>
          <w:i w:val="0"/>
          <w:sz w:val="20"/>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0"/>
          <w:vertAlign w:val="superscript"/>
        </w:rPr>
        <w:t>[18]</w:t>
      </w:r>
      <w:r>
        <w:rPr>
          <w:rFonts w:ascii="Times New Roman" w:hAnsi="Times New Roman"/>
          <w:b w:val="0"/>
          <w:i w:val="0"/>
          <w:sz w:val="20"/>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0"/>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0"/>
          <w:vertAlign w:val="superscript"/>
        </w:rPr>
        <w:t>[19]</w:t>
      </w:r>
      <w:r>
        <w:rPr>
          <w:rFonts w:ascii="Times New Roman" w:hAnsi="Times New Roman"/>
          <w:b w:val="0"/>
          <w:i w:val="0"/>
          <w:sz w:val="20"/>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0"/>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0"/>
          <w:vertAlign w:val="superscript"/>
        </w:rPr>
        <w:t>[20]</w:t>
      </w:r>
      <w:r>
        <w:rPr>
          <w:rFonts w:ascii="Times New Roman" w:hAnsi="Times New Roman"/>
          <w:b w:val="0"/>
          <w:i w:val="0"/>
          <w:sz w:val="20"/>
        </w:rPr>
        <w:t xml:space="preserve"> Our hospital-level JOCS-CP indicator is associated with obstetric hospital growth, suggesting that removing adversarial litigation pressure can support facility supply, although we cannot isolate the compensation effect from concurrent obstetric policies.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0"/>
          <w:vertAlign w:val="superscript"/>
        </w:rPr>
        <w:t>[21]</w:t>
      </w:r>
      <w:r>
        <w:rPr>
          <w:rFonts w:ascii="Times New Roman" w:hAnsi="Times New Roman"/>
          <w:b w:val="0"/>
          <w:i w:val="0"/>
          <w:sz w:val="20"/>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0"/>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0"/>
          <w:vertAlign w:val="superscript"/>
        </w:rPr>
        <w:t>[22]</w:t>
      </w:r>
      <w:r>
        <w:rPr>
          <w:rFonts w:ascii="Times New Roman" w:hAnsi="Times New Roman"/>
          <w:b w:val="0"/>
          <w:i w:val="0"/>
          <w:sz w:val="20"/>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0"/>
          <w:vertAlign w:val="superscript"/>
        </w:rPr>
        <w:t>[23]</w:t>
      </w:r>
      <w:r>
        <w:rPr>
          <w:rFonts w:ascii="Times New Roman" w:hAnsi="Times New Roman"/>
          <w:b w:val="0"/>
          <w:i w:val="0"/>
          <w:sz w:val="20"/>
        </w:rPr>
        <w:t xml:space="preserve"> These findings echo our specialty-level result: litigation may matter for perceptions, but it is not the binding constraint on supply.</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0"/>
        </w:rPr>
        <w:t>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rural/urban payment adjustments and the specialty training system illustrate the latter instruments. This is not to say that malpractice reform is irrelevant: it may influence defensive medicine, patient compensation, and provider-patient trust. But our evidence does not support the claim that lowering litigation risk will retain physicians in high-risk specialties, and litigation-avoidance messaging should not be the centrepiece of workforce policy.</w:t>
      </w:r>
    </w:p>
    <w:p>
      <w:pPr>
        <w:spacing w:line="480" w:lineRule="auto" w:after="120"/>
      </w:pPr>
      <w:r>
        <w:rPr>
          <w:rFonts w:ascii="Times New Roman" w:hAnsi="Times New Roman"/>
          <w:b w:val="0"/>
          <w:i w:val="0"/>
          <w:sz w:val="20"/>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0"/>
          <w:vertAlign w:val="superscript"/>
        </w:rPr>
        <w:t>[24]</w:t>
      </w:r>
      <w:r>
        <w:rPr>
          <w:rFonts w:ascii="Times New Roman" w:hAnsi="Times New Roman"/>
          <w:b w:val="0"/>
          <w:i w:val="0"/>
          <w:sz w:val="20"/>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0"/>
          <w:vertAlign w:val="superscript"/>
        </w:rPr>
        <w:t>[25]</w:t>
      </w:r>
      <w:r>
        <w:rPr>
          <w:rFonts w:ascii="Times New Roman" w:hAnsi="Times New Roman"/>
          <w:b w:val="0"/>
          <w:i w:val="0"/>
          <w:sz w:val="20"/>
        </w:rPr>
        <w:t xml:space="preserve"> The JOCS-CP is narrower in scope—it covers only obstetric cerebral palsy—but it moves in the same direction: it provides compensation and cause analysis without a protracted adversarial process. Extending such an approach more broadly would offer a structural alternative to the recurring call to reduce malpractice litigation as a workforce strategy.</w:t>
      </w:r>
    </w:p>
    <w:p>
      <w:pPr>
        <w:spacing w:line="480" w:lineRule="auto" w:after="120"/>
      </w:pPr>
      <w:r>
        <w:rPr>
          <w:rFonts w:ascii="Times New Roman" w:hAnsi="Times New Roman"/>
          <w:b w:val="0"/>
          <w:i w:val="0"/>
          <w:sz w:val="20"/>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0"/>
          <w:vertAlign w:val="superscript"/>
        </w:rPr>
        <w:t>[26]</w:t>
      </w:r>
      <w:r>
        <w:rPr>
          <w:rFonts w:ascii="Times New Roman" w:hAnsi="Times New Roman"/>
          <w:b w:val="0"/>
          <w:i w:val="0"/>
          <w:sz w:val="20"/>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0"/>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sz w:val="20"/>
          <w:vertAlign w:val="superscript"/>
        </w:rPr>
        <w:t>[9]</w:t>
      </w:r>
      <w:r>
        <w:rPr>
          <w:rFonts w:ascii="Times New Roman" w:hAnsi="Times New Roman"/>
          <w:b w:val="0"/>
          <w:i w:val="0"/>
          <w:sz w:val="20"/>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0"/>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0"/>
        </w:rPr>
        <w:t>Funding: None. Competing interests: None declared. Ethical approval: Not required (secondary analysis of publicly available aggregate statistics).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Declaration of Generative AI and AI-assisted technologies in the writing process</w:t>
      </w:r>
    </w:p>
    <w:p>
      <w:pPr>
        <w:spacing w:line="480" w:lineRule="auto" w:after="120"/>
      </w:pPr>
      <w:r>
        <w:rPr>
          <w:rFonts w:ascii="Times New Roman" w:hAnsi="Times New Roman"/>
          <w:b w:val="0"/>
          <w:i w:val="0"/>
          <w:sz w:val="20"/>
        </w:rPr>
        <w:t>Statement: During the preparation of this work the author(s) used generative AI-assisted coding tools (Cognition Devin) in order to assist with data analysis code, figure generation and manuscript drafting. After using this tool, the author(s) reviewed and edited the content as needed and take(s) full responsibility for the content of the publication.</w:t>
      </w:r>
    </w:p>
    <w:p>
      <w:pPr>
        <w:pStyle w:val="Heading1"/>
      </w:pPr>
      <w:r>
        <w:rPr>
          <w:rFonts w:ascii="Times New Roman" w:hAnsi="Times New Roman"/>
          <w:color w:val="000000"/>
        </w:rPr>
        <w:t>References</w:t>
      </w:r>
    </w:p>
    <w:p>
      <w:pPr>
        <w:spacing w:line="360" w:lineRule="auto"/>
      </w:pPr>
      <w:r>
        <w:rPr>
          <w:rFonts w:ascii="Times New Roman" w:hAnsi="Times New Roman"/>
          <w:sz w:val="20"/>
        </w:rPr>
        <w:t>1. Ikesu R, Miyawaki A, Kobayashi Y. Physician distribution by specialty and practice setting: findings in Japan in 2000, 2010 and 2016. Tohoku J Exp Med. 2020;251(1):1-8.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Yoshihara M, Tanaka S, et al. Defensive medicine practices among gastroenterologists in Japan. World J Gastroenterol. 2006;12(47):7671-7675.</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Nikkei Inc. Nikkei Telecom 21 (news and information database). Tokyo: Nikkei Inc. Accessed 2024.</w:t>
      </w:r>
    </w:p>
    <w:p>
      <w:pPr>
        <w:spacing w:line="360" w:lineRule="auto"/>
      </w:pPr>
      <w:r>
        <w:rPr>
          <w:rFonts w:ascii="Times New Roman" w:hAnsi="Times New Roman"/>
          <w:sz w:val="20"/>
        </w:rPr>
        <w:t>13. Angrist JD, Pischke JS. Mostly Harmless Econometrics. Princeton: Princeton University Press; 2009.</w:t>
      </w:r>
    </w:p>
    <w:p>
      <w:pPr>
        <w:spacing w:line="360" w:lineRule="auto"/>
      </w:pPr>
      <w:r>
        <w:rPr>
          <w:rFonts w:ascii="Times New Roman" w:hAnsi="Times New Roman"/>
          <w:sz w:val="20"/>
        </w:rPr>
        <w:t>14. Matsa DA. Does malpractice liability keep the doctor away? Evidence from tort reform damage caps. J Legal Stud. 2007;36(S2):S143-S182.</w:t>
      </w:r>
    </w:p>
    <w:p>
      <w:pPr>
        <w:spacing w:line="360" w:lineRule="auto"/>
      </w:pPr>
      <w:r>
        <w:rPr>
          <w:rFonts w:ascii="Times New Roman" w:hAnsi="Times New Roman"/>
          <w:sz w:val="20"/>
        </w:rPr>
        <w:t>15. Hyman DA, Silver C, Black B, Paik M. Does tort reform affect physician supply? Evidence from Texas. Int Rev Law Econ. 2015;42:203-218.</w:t>
      </w:r>
    </w:p>
    <w:p>
      <w:pPr>
        <w:spacing w:line="360" w:lineRule="auto"/>
      </w:pPr>
      <w:r>
        <w:rPr>
          <w:rFonts w:ascii="Times New Roman" w:hAnsi="Times New Roman"/>
          <w:sz w:val="20"/>
        </w:rPr>
        <w:t>16. Frakes MD, Frank MB, Seabury SA. The Effect of Malpractice Law on Physician Supply: Evidence from Negligence-Standard Reforms. J Health Econ. 2020;70:102272.</w:t>
      </w:r>
    </w:p>
    <w:p>
      <w:pPr>
        <w:spacing w:line="360" w:lineRule="auto"/>
      </w:pPr>
      <w:r>
        <w:rPr>
          <w:rFonts w:ascii="Times New Roman" w:hAnsi="Times New Roman"/>
          <w:sz w:val="20"/>
        </w:rPr>
        <w:t>17. Kessler DP, McClellan MB. Do doctors practice defensive medicine?. Q J Econ. 1996;111(2):353-390.</w:t>
      </w:r>
    </w:p>
    <w:p>
      <w:pPr>
        <w:spacing w:line="360" w:lineRule="auto"/>
      </w:pPr>
      <w:r>
        <w:rPr>
          <w:rFonts w:ascii="Times New Roman" w:hAnsi="Times New Roman"/>
          <w:sz w:val="20"/>
        </w:rPr>
        <w:t>18. Sloan FA, Shadle JH. Is there empirical evidence for "Defensive Medicine"? A reassessment. J Health Econ. 2008;27(2):481-491.</w:t>
      </w:r>
    </w:p>
    <w:p>
      <w:pPr>
        <w:spacing w:line="360" w:lineRule="auto"/>
      </w:pPr>
      <w:r>
        <w:rPr>
          <w:rFonts w:ascii="Times New Roman" w:hAnsi="Times New Roman"/>
          <w:sz w:val="20"/>
        </w:rPr>
        <w:t>19. Taniguchi K, Watari T, Nagoshi K. Characteristics and trends of medical malpractice claims in Japan between 2006 and 2021. PLoS One. 2023;18(12):e0296155.</w:t>
      </w:r>
    </w:p>
    <w:p>
      <w:pPr>
        <w:spacing w:line="360" w:lineRule="auto"/>
      </w:pPr>
      <w:r>
        <w:rPr>
          <w:rFonts w:ascii="Times New Roman" w:hAnsi="Times New Roman"/>
          <w:sz w:val="20"/>
        </w:rPr>
        <w:t>20.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21. Morita H. Criminal prosecution and physician supply. Int Rev Law Econ. 2018;55:1-11.</w:t>
      </w:r>
    </w:p>
    <w:p>
      <w:pPr>
        <w:spacing w:line="360" w:lineRule="auto"/>
      </w:pPr>
      <w:r>
        <w:rPr>
          <w:rFonts w:ascii="Times New Roman" w:hAnsi="Times New Roman"/>
          <w:sz w:val="20"/>
        </w:rPr>
        <w:t>22. Kamijo K, Wada Y, Ishida K, Warsof SL, Saade G, Kawakita T. Medical-legal claims in obstetrics and gynecology: Japan versus the United States. J Healthc Risk Manag. 2025;44(4):5-11.</w:t>
      </w:r>
    </w:p>
    <w:p>
      <w:pPr>
        <w:spacing w:line="360" w:lineRule="auto"/>
      </w:pPr>
      <w:r>
        <w:rPr>
          <w:rFonts w:ascii="Times New Roman" w:hAnsi="Times New Roman"/>
          <w:sz w:val="20"/>
        </w:rPr>
        <w:t>23.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24.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25.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26.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Arial"/>
        <a:font script="Hang" typeface="Arial"/>
        <a:font script="Hans" typeface="Arial"/>
        <a:font script="Hant" typeface="Arial"/>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Arial"/>
        <a:font script="Hang" typeface="Arial"/>
        <a:font script="Hans" typeface="Arial"/>
        <a:font script="Hant" typeface="Arial"/>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