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  <w:color w:val="000000"/>
        </w:rPr>
        <w:t>Tables</w:t>
      </w:r>
    </w:p>
    <w:p>
      <w:pPr>
        <w:spacing w:before="280" w:after="120"/>
      </w:pPr>
      <w:r>
        <w:rPr>
          <w:rFonts w:ascii="Times New Roman" w:hAnsi="Times New Roman"/>
          <w:b/>
          <w:sz w:val="20"/>
        </w:rPr>
        <w:t>Table 1. Physicians, litigation rate (per 1,000 physicians) and hospitals by specialty, first and last waves.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Specialty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Physicians 2008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Physicians 2024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Lit. rate 2008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Lit. rate 2024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Hospitals 2008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Hospitals 2024</w:t>
            </w:r>
          </w:p>
        </w:tc>
      </w:tr>
      <w:tr>
        <w:tc>
          <w:tcPr>
            <w:tcW w:type="dxa" w:w="1337"/>
          </w:tcPr>
          <w:p>
            <w:r>
              <w:rPr>
                <w:rFonts w:ascii="Times New Roman" w:hAnsi="Times New Roman"/>
                <w:sz w:val="18"/>
              </w:rPr>
              <w:t>Internal medicine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102388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124010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2.23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1.48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7725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7163</w:t>
            </w:r>
          </w:p>
        </w:tc>
      </w:tr>
      <w:tr>
        <w:tc>
          <w:tcPr>
            <w:tcW w:type="dxa" w:w="1337"/>
          </w:tcPr>
          <w:p>
            <w:r>
              <w:rPr>
                <w:rFonts w:ascii="Times New Roman" w:hAnsi="Times New Roman"/>
                <w:sz w:val="18"/>
              </w:rPr>
              <w:t>Surgery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27525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26885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6.54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2.83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4994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4300</w:t>
            </w:r>
          </w:p>
        </w:tc>
      </w:tr>
      <w:tr>
        <w:tc>
          <w:tcPr>
            <w:tcW w:type="dxa" w:w="1337"/>
          </w:tcPr>
          <w:p>
            <w:r>
              <w:rPr>
                <w:rFonts w:ascii="Times New Roman" w:hAnsi="Times New Roman"/>
                <w:sz w:val="18"/>
              </w:rPr>
              <w:t>Orthopaedics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19273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22630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5.60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2.87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5094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4844</w:t>
            </w:r>
          </w:p>
        </w:tc>
      </w:tr>
      <w:tr>
        <w:tc>
          <w:tcPr>
            <w:tcW w:type="dxa" w:w="1337"/>
          </w:tcPr>
          <w:p>
            <w:r>
              <w:rPr>
                <w:rFonts w:ascii="Times New Roman" w:hAnsi="Times New Roman"/>
                <w:sz w:val="18"/>
              </w:rPr>
              <w:t>Plastic surgery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2520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5074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7.14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8.28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1090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1475</w:t>
            </w:r>
          </w:p>
        </w:tc>
      </w:tr>
      <w:tr>
        <w:tc>
          <w:tcPr>
            <w:tcW w:type="dxa" w:w="1337"/>
          </w:tcPr>
          <w:p>
            <w:r>
              <w:rPr>
                <w:rFonts w:ascii="Times New Roman" w:hAnsi="Times New Roman"/>
                <w:sz w:val="18"/>
              </w:rPr>
              <w:t>Obstetrics &amp; gynaecology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11961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13908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8.28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2.23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1319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1052</w:t>
            </w:r>
          </w:p>
        </w:tc>
      </w:tr>
      <w:tr>
        <w:tc>
          <w:tcPr>
            <w:tcW w:type="dxa" w:w="1337"/>
          </w:tcPr>
          <w:p>
            <w:r>
              <w:rPr>
                <w:rFonts w:ascii="Times New Roman" w:hAnsi="Times New Roman"/>
                <w:sz w:val="18"/>
              </w:rPr>
              <w:t>Paediatrics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15236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18009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1.44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0.44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2932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2446</w:t>
            </w:r>
          </w:p>
        </w:tc>
      </w:tr>
      <w:tr>
        <w:tc>
          <w:tcPr>
            <w:tcW w:type="dxa" w:w="1337"/>
          </w:tcPr>
          <w:p>
            <w:r>
              <w:rPr>
                <w:rFonts w:ascii="Times New Roman" w:hAnsi="Times New Roman"/>
                <w:sz w:val="18"/>
              </w:rPr>
              <w:t>Psychiatry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13534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17259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2.22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1.80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2618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2881</w:t>
            </w:r>
          </w:p>
        </w:tc>
      </w:tr>
      <w:tr>
        <w:tc>
          <w:tcPr>
            <w:tcW w:type="dxa" w:w="1337"/>
          </w:tcPr>
          <w:p>
            <w:r>
              <w:rPr>
                <w:rFonts w:ascii="Times New Roman" w:hAnsi="Times New Roman"/>
                <w:sz w:val="18"/>
              </w:rPr>
              <w:t>Ophthalmology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12627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13436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2.14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1.04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2501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2310</w:t>
            </w:r>
          </w:p>
        </w:tc>
      </w:tr>
      <w:tr>
        <w:tc>
          <w:tcPr>
            <w:tcW w:type="dxa" w:w="1337"/>
          </w:tcPr>
          <w:p>
            <w:r>
              <w:rPr>
                <w:rFonts w:ascii="Times New Roman" w:hAnsi="Times New Roman"/>
                <w:sz w:val="18"/>
              </w:rPr>
              <w:t>Otolaryngology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8936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9330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2.13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1.39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2039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1937</w:t>
            </w:r>
          </w:p>
        </w:tc>
      </w:tr>
      <w:tr>
        <w:tc>
          <w:tcPr>
            <w:tcW w:type="dxa" w:w="1337"/>
          </w:tcPr>
          <w:p>
            <w:r>
              <w:rPr>
                <w:rFonts w:ascii="Times New Roman" w:hAnsi="Times New Roman"/>
                <w:sz w:val="18"/>
              </w:rPr>
              <w:t>Urology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6324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8069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2.85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2.11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2799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2893</w:t>
            </w:r>
          </w:p>
        </w:tc>
      </w:tr>
      <w:tr>
        <w:tc>
          <w:tcPr>
            <w:tcW w:type="dxa" w:w="1337"/>
          </w:tcPr>
          <w:p>
            <w:r>
              <w:rPr>
                <w:rFonts w:ascii="Times New Roman" w:hAnsi="Times New Roman"/>
                <w:sz w:val="18"/>
              </w:rPr>
              <w:t>Dermatology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8214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10043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1.10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1.39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3040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3066</w:t>
            </w:r>
          </w:p>
        </w:tc>
      </w:tr>
      <w:tr>
        <w:tc>
          <w:tcPr>
            <w:tcW w:type="dxa" w:w="1337"/>
          </w:tcPr>
          <w:p>
            <w:r>
              <w:rPr>
                <w:rFonts w:ascii="Times New Roman" w:hAnsi="Times New Roman"/>
                <w:sz w:val="18"/>
              </w:rPr>
              <w:t>Anaesthesiology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7067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10628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1.13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0.38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2525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2798</w:t>
            </w:r>
          </w:p>
        </w:tc>
      </w:tr>
    </w:tbl>
    <w:p/>
    <w:p>
      <w:pPr>
        <w:spacing w:before="280" w:after="120"/>
      </w:pPr>
      <w:r>
        <w:rPr>
          <w:rFonts w:ascii="Times New Roman" w:hAnsi="Times New Roman"/>
          <w:b/>
          <w:sz w:val="20"/>
        </w:rPr>
        <w:t>Table 2. Panel fixed-effects models and sensitivity analyses.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Model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Coefficient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95% CI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Physician growth ~ lagged rate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-0.0009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-0.0043, +0.0025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0.56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Hospital growth ~ lagged rate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+0.0003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-0.0050, +0.0056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0.90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Counts contrast (physician)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+0.0002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-0.0005, +0.0009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0.51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Annual hospital (sensitivity)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+0.0000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-0.0038, +0.0038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0.99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192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Interpolated physician (sensitivity)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-0.0010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-0.0033, +0.0014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0.39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192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Reverse (workforce→litigation)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+0.097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-1.000, +1.193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0.85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96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120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Arial"/>
        <a:font script="Hang" typeface="Arial"/>
        <a:font script="Hans" typeface="Arial"/>
        <a:font script="Hant" typeface="Arial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Arial"/>
        <a:font script="Hang" typeface="Arial"/>
        <a:font script="Hans" typeface="Arial"/>
        <a:font script="Hant" typeface="Arial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