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and hospital supply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Tatsuki Onishi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Tatsuki Onishi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 address: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 telephone/fax: [telephone] / [fax]</w:t>
      </w:r>
    </w:p>
    <w:p>
      <w:pPr>
        <w:jc w:val="center"/>
      </w:pPr>
      <w:r>
        <w:rPr>
          <w:rFonts w:ascii="Times New Roman" w:hAnsi="Times New Roman"/>
          <w:sz w:val="24"/>
        </w:rPr>
        <w:t>Running title: Litigation risk and physician supply</w:t>
      </w:r>
    </w:p>
    <w:p>
      <w:pPr>
        <w:jc w:val="center"/>
      </w:pPr>
      <w:r>
        <w:rPr>
          <w:rFonts w:ascii="Times New Roman" w:hAnsi="Times New Roman"/>
          <w:sz w:val="24"/>
        </w:rPr>
        <w:t>Keywords: malpractice litigation; physician workforce; specialty maldistribution; equivalence testing; health policy; Japan</w:t>
      </w:r>
    </w:p>
    <w:p>
      <w:pPr>
        <w:jc w:val="center"/>
      </w:pPr>
      <w:r>
        <w:rPr>
          <w:rFonts w:ascii="Times New Roman" w:hAnsi="Times New Roman"/>
          <w:sz w:val="24"/>
        </w:rPr>
        <w:t>Acknowledgements: none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Competing interests: None declared</w:t>
      </w:r>
    </w:p>
    <w:p>
      <w:pPr>
        <w:jc w:val="center"/>
      </w:pPr>
      <w:r>
        <w:rPr>
          <w:rFonts w:ascii="Times New Roman" w:hAnsi="Times New Roman"/>
          <w:sz w:val="24"/>
        </w:rPr>
        <w:t>Ethical approval: Not required (secondary analysis of publicly available aggregate statistics)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3112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4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Declaration of generative AI use: Generative AI and AI-assisted technologies were used to assist with coding, data analysis, figure generation, and manuscript drafting; the author(s) reviewed and edited the content and take full responsibility for the publication.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p>
      <w:pPr>
        <w:jc w:val="center"/>
      </w:pPr>
      <w:r>
        <w:rPr>
          <w:rFonts w:ascii="Times New Roman" w:hAnsi="Times New Roman"/>
          <w:sz w:val="24"/>
        </w:rPr>
        <w:t>CRediT author contribution statement: Tatsuki Onishi conceptualised the study, collected and curated data, performed the formal analysis, wrote the original draft, and approved the final manuscript.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